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CF" w:rsidRPr="00A17A0C" w:rsidRDefault="002571CF" w:rsidP="00A17A0C">
      <w:pPr>
        <w:jc w:val="both"/>
        <w:rPr>
          <w:rFonts w:ascii="Calibri" w:eastAsia="Times New Roman" w:hAnsi="Calibri" w:cs="Calibri"/>
          <w:color w:val="000000"/>
        </w:rPr>
      </w:pPr>
      <w:r w:rsidRPr="00A17A0C">
        <w:rPr>
          <w:rFonts w:ascii="Calibri" w:eastAsia="Times New Roman" w:hAnsi="Calibri" w:cs="Calibri"/>
          <w:color w:val="000000"/>
        </w:rPr>
        <w:t>Paulo Águas, reitor</w:t>
      </w:r>
    </w:p>
    <w:p w:rsidR="002571CF" w:rsidRPr="00A17A0C" w:rsidRDefault="002571CF" w:rsidP="00A17A0C">
      <w:pPr>
        <w:jc w:val="both"/>
        <w:rPr>
          <w:rFonts w:ascii="Calibri" w:eastAsia="Times New Roman" w:hAnsi="Calibri" w:cs="Calibri"/>
          <w:color w:val="000000"/>
        </w:rPr>
      </w:pPr>
      <w:r w:rsidRPr="00A17A0C">
        <w:rPr>
          <w:rFonts w:ascii="Calibri" w:eastAsia="Times New Roman" w:hAnsi="Calibri" w:cs="Calibri"/>
          <w:color w:val="000000"/>
        </w:rPr>
        <w:t xml:space="preserve">Discurso na cerimónia comemorativa do Dia da Universidade do Algarve </w:t>
      </w:r>
    </w:p>
    <w:p w:rsidR="002571CF" w:rsidRPr="00A17A0C" w:rsidRDefault="00292DDA" w:rsidP="00A17A0C">
      <w:pPr>
        <w:jc w:val="both"/>
        <w:rPr>
          <w:rFonts w:ascii="Calibri" w:eastAsia="Times New Roman" w:hAnsi="Calibri" w:cs="Calibri"/>
          <w:color w:val="000000"/>
        </w:rPr>
      </w:pPr>
      <w:r w:rsidRPr="00A17A0C">
        <w:rPr>
          <w:rFonts w:ascii="Calibri" w:eastAsia="Times New Roman" w:hAnsi="Calibri" w:cs="Calibri"/>
          <w:color w:val="000000"/>
        </w:rPr>
        <w:t>Universidade do Algarve, 16 de dezembro de 2020</w:t>
      </w:r>
    </w:p>
    <w:p w:rsidR="002571CF" w:rsidRDefault="002571CF" w:rsidP="008E32D0">
      <w:pPr>
        <w:rPr>
          <w:rFonts w:ascii="Calibri" w:eastAsia="Times New Roman" w:hAnsi="Calibri" w:cs="Calibri"/>
          <w:b/>
          <w:color w:val="000000"/>
          <w:highlight w:val="yellow"/>
        </w:rPr>
      </w:pPr>
    </w:p>
    <w:p w:rsidR="009F7871" w:rsidRDefault="001460EA" w:rsidP="001D13CF">
      <w:pPr>
        <w:jc w:val="both"/>
        <w:rPr>
          <w:rFonts w:ascii="Calibri" w:eastAsia="Times New Roman" w:hAnsi="Calibri" w:cs="Calibri"/>
          <w:color w:val="000000"/>
        </w:rPr>
      </w:pPr>
      <w:r>
        <w:rPr>
          <w:rFonts w:ascii="Calibri" w:eastAsia="Times New Roman" w:hAnsi="Calibri" w:cs="Calibri"/>
          <w:color w:val="000000"/>
        </w:rPr>
        <w:t>Saudações calorosas para todos os que nos acompanham</w:t>
      </w:r>
      <w:r w:rsidR="008411C9">
        <w:rPr>
          <w:rFonts w:ascii="Calibri" w:eastAsia="Times New Roman" w:hAnsi="Calibri" w:cs="Calibri"/>
          <w:color w:val="000000"/>
        </w:rPr>
        <w:t xml:space="preserve"> nesta sessão solene do dia da U</w:t>
      </w:r>
      <w:r>
        <w:rPr>
          <w:rFonts w:ascii="Calibri" w:eastAsia="Times New Roman" w:hAnsi="Calibri" w:cs="Calibri"/>
          <w:color w:val="000000"/>
        </w:rPr>
        <w:t>niversidade do Algarve</w:t>
      </w:r>
      <w:r w:rsidR="00585595">
        <w:rPr>
          <w:rFonts w:ascii="Calibri" w:eastAsia="Times New Roman" w:hAnsi="Calibri" w:cs="Calibri"/>
          <w:color w:val="000000"/>
        </w:rPr>
        <w:t>, sejam membros, ou não, da comunidade académica.</w:t>
      </w:r>
    </w:p>
    <w:p w:rsidR="009F7871" w:rsidRDefault="009F7871" w:rsidP="001D13CF">
      <w:pPr>
        <w:jc w:val="both"/>
        <w:rPr>
          <w:rFonts w:ascii="Calibri" w:eastAsia="Times New Roman" w:hAnsi="Calibri" w:cs="Calibri"/>
          <w:color w:val="000000"/>
        </w:rPr>
      </w:pPr>
    </w:p>
    <w:p w:rsidR="008411C9" w:rsidRDefault="009F7871" w:rsidP="001D13CF">
      <w:pPr>
        <w:jc w:val="both"/>
        <w:rPr>
          <w:rFonts w:ascii="Calibri" w:eastAsia="Times New Roman" w:hAnsi="Calibri" w:cs="Calibri"/>
          <w:color w:val="000000"/>
        </w:rPr>
      </w:pPr>
      <w:r>
        <w:rPr>
          <w:rFonts w:ascii="Calibri" w:eastAsia="Times New Roman" w:hAnsi="Calibri" w:cs="Calibri"/>
          <w:color w:val="000000"/>
        </w:rPr>
        <w:t xml:space="preserve">Um cumprimento especial para os intervenientes que me antecederam: </w:t>
      </w:r>
    </w:p>
    <w:p w:rsidR="008411C9" w:rsidRDefault="008411C9" w:rsidP="001D13CF">
      <w:pPr>
        <w:jc w:val="both"/>
        <w:rPr>
          <w:rFonts w:ascii="Calibri" w:eastAsia="Times New Roman" w:hAnsi="Calibri" w:cs="Calibri"/>
          <w:color w:val="000000"/>
        </w:rPr>
      </w:pPr>
      <w:r>
        <w:rPr>
          <w:rFonts w:ascii="Calibri" w:eastAsia="Times New Roman" w:hAnsi="Calibri" w:cs="Calibri"/>
          <w:color w:val="000000"/>
        </w:rPr>
        <w:t xml:space="preserve">- </w:t>
      </w:r>
      <w:r w:rsidR="009F7871">
        <w:rPr>
          <w:rFonts w:ascii="Calibri" w:eastAsia="Times New Roman" w:hAnsi="Calibri" w:cs="Calibri"/>
          <w:color w:val="000000"/>
        </w:rPr>
        <w:t xml:space="preserve">o Sr. Presidente </w:t>
      </w:r>
      <w:r>
        <w:rPr>
          <w:rFonts w:ascii="Calibri" w:eastAsia="Times New Roman" w:hAnsi="Calibri" w:cs="Calibri"/>
          <w:color w:val="000000"/>
        </w:rPr>
        <w:t>do Conselho Geral, Vítor Neto;</w:t>
      </w:r>
    </w:p>
    <w:p w:rsidR="008411C9" w:rsidRDefault="008411C9" w:rsidP="001D13CF">
      <w:pPr>
        <w:jc w:val="both"/>
        <w:rPr>
          <w:rFonts w:ascii="Calibri" w:eastAsia="Times New Roman" w:hAnsi="Calibri" w:cs="Calibri"/>
          <w:color w:val="000000"/>
        </w:rPr>
      </w:pPr>
      <w:r>
        <w:rPr>
          <w:rFonts w:ascii="Calibri" w:eastAsia="Times New Roman" w:hAnsi="Calibri" w:cs="Calibri"/>
          <w:color w:val="000000"/>
        </w:rPr>
        <w:t>- a</w:t>
      </w:r>
      <w:r w:rsidR="009F7871">
        <w:rPr>
          <w:rFonts w:ascii="Calibri" w:eastAsia="Times New Roman" w:hAnsi="Calibri" w:cs="Calibri"/>
          <w:color w:val="000000"/>
        </w:rPr>
        <w:t xml:space="preserve"> Funcio</w:t>
      </w:r>
      <w:r>
        <w:rPr>
          <w:rFonts w:ascii="Calibri" w:eastAsia="Times New Roman" w:hAnsi="Calibri" w:cs="Calibri"/>
          <w:color w:val="000000"/>
        </w:rPr>
        <w:t>nária não Docente, Graça Rafael;</w:t>
      </w:r>
    </w:p>
    <w:p w:rsidR="008411C9" w:rsidRDefault="008411C9" w:rsidP="001D13CF">
      <w:pPr>
        <w:jc w:val="both"/>
        <w:rPr>
          <w:rFonts w:ascii="Calibri" w:eastAsia="Times New Roman" w:hAnsi="Calibri" w:cs="Calibri"/>
          <w:color w:val="000000"/>
        </w:rPr>
      </w:pPr>
      <w:r>
        <w:rPr>
          <w:rFonts w:ascii="Calibri" w:eastAsia="Times New Roman" w:hAnsi="Calibri" w:cs="Calibri"/>
          <w:color w:val="000000"/>
        </w:rPr>
        <w:t>-</w:t>
      </w:r>
      <w:r w:rsidR="009F7871">
        <w:rPr>
          <w:rFonts w:ascii="Calibri" w:eastAsia="Times New Roman" w:hAnsi="Calibri" w:cs="Calibri"/>
          <w:color w:val="000000"/>
        </w:rPr>
        <w:t xml:space="preserve"> </w:t>
      </w:r>
      <w:r>
        <w:rPr>
          <w:rFonts w:ascii="Calibri" w:eastAsia="Times New Roman" w:hAnsi="Calibri" w:cs="Calibri"/>
          <w:color w:val="000000"/>
        </w:rPr>
        <w:t>a</w:t>
      </w:r>
      <w:r w:rsidR="009F7871">
        <w:rPr>
          <w:rFonts w:ascii="Calibri" w:eastAsia="Times New Roman" w:hAnsi="Calibri" w:cs="Calibri"/>
          <w:color w:val="000000"/>
        </w:rPr>
        <w:t xml:space="preserve"> Presidente da Associação Académica da Universidade do Algarve, Raquel Jacob</w:t>
      </w:r>
      <w:r>
        <w:rPr>
          <w:rFonts w:ascii="Calibri" w:eastAsia="Times New Roman" w:hAnsi="Calibri" w:cs="Calibri"/>
          <w:color w:val="000000"/>
        </w:rPr>
        <w:t>;</w:t>
      </w:r>
    </w:p>
    <w:p w:rsidR="00F255C0" w:rsidRDefault="008411C9" w:rsidP="001D13CF">
      <w:pPr>
        <w:jc w:val="both"/>
        <w:rPr>
          <w:rFonts w:ascii="Calibri" w:eastAsia="Times New Roman" w:hAnsi="Calibri" w:cs="Calibri"/>
          <w:color w:val="000000"/>
        </w:rPr>
      </w:pPr>
      <w:r>
        <w:rPr>
          <w:rFonts w:ascii="Calibri" w:eastAsia="Times New Roman" w:hAnsi="Calibri" w:cs="Calibri"/>
          <w:color w:val="000000"/>
        </w:rPr>
        <w:t xml:space="preserve">- a </w:t>
      </w:r>
      <w:r w:rsidR="009F7871">
        <w:rPr>
          <w:rFonts w:ascii="Calibri" w:eastAsia="Times New Roman" w:hAnsi="Calibri" w:cs="Calibri"/>
          <w:color w:val="000000"/>
        </w:rPr>
        <w:t>Docente</w:t>
      </w:r>
      <w:r>
        <w:rPr>
          <w:rFonts w:ascii="Calibri" w:eastAsia="Times New Roman" w:hAnsi="Calibri" w:cs="Calibri"/>
          <w:color w:val="000000"/>
        </w:rPr>
        <w:t>,</w:t>
      </w:r>
      <w:r w:rsidR="009F7871">
        <w:rPr>
          <w:rFonts w:ascii="Calibri" w:eastAsia="Times New Roman" w:hAnsi="Calibri" w:cs="Calibri"/>
          <w:color w:val="000000"/>
        </w:rPr>
        <w:t xml:space="preserve"> Cátia Martins</w:t>
      </w:r>
      <w:r>
        <w:rPr>
          <w:rFonts w:ascii="Calibri" w:eastAsia="Times New Roman" w:hAnsi="Calibri" w:cs="Calibri"/>
          <w:color w:val="000000"/>
        </w:rPr>
        <w:t>.</w:t>
      </w:r>
    </w:p>
    <w:p w:rsidR="008411C9" w:rsidRDefault="008411C9" w:rsidP="001D13CF">
      <w:pPr>
        <w:jc w:val="both"/>
        <w:rPr>
          <w:rFonts w:ascii="Calibri" w:eastAsia="Times New Roman" w:hAnsi="Calibri" w:cs="Calibri"/>
          <w:color w:val="000000"/>
        </w:rPr>
      </w:pPr>
    </w:p>
    <w:p w:rsidR="007D3F71" w:rsidRDefault="008411C9" w:rsidP="001D13CF">
      <w:pPr>
        <w:jc w:val="both"/>
        <w:rPr>
          <w:rFonts w:ascii="Calibri" w:eastAsia="Times New Roman" w:hAnsi="Calibri" w:cs="Calibri"/>
          <w:color w:val="000000"/>
        </w:rPr>
      </w:pPr>
      <w:r>
        <w:rPr>
          <w:rFonts w:ascii="Calibri" w:eastAsia="Times New Roman" w:hAnsi="Calibri" w:cs="Calibri"/>
          <w:color w:val="000000"/>
        </w:rPr>
        <w:t>Parabenizo</w:t>
      </w:r>
      <w:r w:rsidR="007D3F71">
        <w:rPr>
          <w:rFonts w:ascii="Calibri" w:eastAsia="Times New Roman" w:hAnsi="Calibri" w:cs="Calibri"/>
          <w:color w:val="000000"/>
        </w:rPr>
        <w:t xml:space="preserve"> novamente: </w:t>
      </w:r>
    </w:p>
    <w:p w:rsidR="007D3F71" w:rsidRDefault="007D3F71" w:rsidP="001D13CF">
      <w:pPr>
        <w:jc w:val="both"/>
        <w:rPr>
          <w:rFonts w:ascii="Calibri" w:eastAsia="Times New Roman" w:hAnsi="Calibri" w:cs="Calibri"/>
          <w:color w:val="000000"/>
        </w:rPr>
      </w:pPr>
      <w:r>
        <w:rPr>
          <w:rFonts w:ascii="Calibri" w:eastAsia="Times New Roman" w:hAnsi="Calibri" w:cs="Calibri"/>
          <w:color w:val="000000"/>
        </w:rPr>
        <w:t>- os funcionários não docentes que completaram 25 anos de serviço na instituição;</w:t>
      </w:r>
    </w:p>
    <w:p w:rsidR="007D3F71" w:rsidRDefault="00585595" w:rsidP="001D13CF">
      <w:pPr>
        <w:jc w:val="both"/>
        <w:rPr>
          <w:rFonts w:ascii="Calibri" w:eastAsia="Times New Roman" w:hAnsi="Calibri" w:cs="Calibri"/>
          <w:color w:val="000000"/>
        </w:rPr>
      </w:pPr>
      <w:r>
        <w:rPr>
          <w:rFonts w:ascii="Calibri" w:eastAsia="Times New Roman" w:hAnsi="Calibri" w:cs="Calibri"/>
          <w:color w:val="000000"/>
        </w:rPr>
        <w:t>- os diplomados</w:t>
      </w:r>
      <w:r w:rsidR="007D3F71">
        <w:rPr>
          <w:rFonts w:ascii="Calibri" w:eastAsia="Times New Roman" w:hAnsi="Calibri" w:cs="Calibri"/>
          <w:color w:val="000000"/>
        </w:rPr>
        <w:t xml:space="preserve"> com as bolsas de méritos relativas ao ano letivo 2018/19, patrocinadas pela CGD</w:t>
      </w:r>
      <w:r>
        <w:rPr>
          <w:rFonts w:ascii="Calibri" w:eastAsia="Times New Roman" w:hAnsi="Calibri" w:cs="Calibri"/>
          <w:color w:val="000000"/>
        </w:rPr>
        <w:t>; e</w:t>
      </w:r>
    </w:p>
    <w:p w:rsidR="00585595" w:rsidRDefault="007D3F71" w:rsidP="001D13CF">
      <w:pPr>
        <w:jc w:val="both"/>
        <w:rPr>
          <w:rFonts w:ascii="Calibri" w:eastAsia="Times New Roman" w:hAnsi="Calibri" w:cs="Calibri"/>
          <w:color w:val="000000"/>
        </w:rPr>
      </w:pPr>
      <w:r>
        <w:rPr>
          <w:rFonts w:ascii="Calibri" w:eastAsia="Times New Roman" w:hAnsi="Calibri" w:cs="Calibri"/>
          <w:color w:val="000000"/>
        </w:rPr>
        <w:t xml:space="preserve">- </w:t>
      </w:r>
      <w:r w:rsidR="005F2600">
        <w:rPr>
          <w:rFonts w:ascii="Calibri" w:eastAsia="Times New Roman" w:hAnsi="Calibri" w:cs="Calibri"/>
          <w:color w:val="000000"/>
        </w:rPr>
        <w:t>os novos doutores</w:t>
      </w:r>
      <w:r w:rsidR="00585595">
        <w:rPr>
          <w:rFonts w:ascii="Calibri" w:eastAsia="Times New Roman" w:hAnsi="Calibri" w:cs="Calibri"/>
          <w:color w:val="000000"/>
        </w:rPr>
        <w:t>.</w:t>
      </w:r>
    </w:p>
    <w:p w:rsidR="00585595" w:rsidRDefault="00585595" w:rsidP="001D13CF">
      <w:pPr>
        <w:jc w:val="both"/>
        <w:rPr>
          <w:rFonts w:ascii="Calibri" w:eastAsia="Times New Roman" w:hAnsi="Calibri" w:cs="Calibri"/>
          <w:color w:val="000000"/>
        </w:rPr>
      </w:pPr>
    </w:p>
    <w:p w:rsidR="00585595" w:rsidRDefault="00585595" w:rsidP="001D13CF">
      <w:pPr>
        <w:jc w:val="both"/>
        <w:rPr>
          <w:rFonts w:ascii="Calibri" w:eastAsia="Times New Roman" w:hAnsi="Calibri" w:cs="Calibri"/>
          <w:color w:val="000000"/>
        </w:rPr>
      </w:pPr>
      <w:r>
        <w:rPr>
          <w:rFonts w:ascii="Calibri" w:eastAsia="Times New Roman" w:hAnsi="Calibri" w:cs="Calibri"/>
          <w:color w:val="000000"/>
        </w:rPr>
        <w:t>Desde já, um agradecimento muito especial a todos os funcionários</w:t>
      </w:r>
      <w:r w:rsidR="005E0C2E">
        <w:rPr>
          <w:rFonts w:ascii="Calibri" w:eastAsia="Times New Roman" w:hAnsi="Calibri" w:cs="Calibri"/>
          <w:color w:val="000000"/>
        </w:rPr>
        <w:t>, docentes e não docentes, aposentados em 2020. A universidade é um pouco de vós</w:t>
      </w:r>
      <w:r w:rsidR="008D1D78">
        <w:rPr>
          <w:rFonts w:ascii="Calibri" w:eastAsia="Times New Roman" w:hAnsi="Calibri" w:cs="Calibri"/>
          <w:color w:val="000000"/>
        </w:rPr>
        <w:t xml:space="preserve">. </w:t>
      </w:r>
    </w:p>
    <w:p w:rsidR="008D1D78" w:rsidRDefault="008D1D78" w:rsidP="001D13CF">
      <w:pPr>
        <w:jc w:val="both"/>
        <w:rPr>
          <w:rFonts w:ascii="Calibri" w:eastAsia="Times New Roman" w:hAnsi="Calibri" w:cs="Calibri"/>
          <w:color w:val="000000"/>
        </w:rPr>
      </w:pPr>
    </w:p>
    <w:p w:rsidR="008D1D78" w:rsidRDefault="004A0699" w:rsidP="001D13CF">
      <w:pPr>
        <w:jc w:val="both"/>
        <w:rPr>
          <w:rFonts w:ascii="Calibri" w:eastAsia="Times New Roman" w:hAnsi="Calibri" w:cs="Calibri"/>
          <w:color w:val="000000"/>
        </w:rPr>
      </w:pPr>
      <w:r>
        <w:rPr>
          <w:rFonts w:ascii="Calibri" w:eastAsia="Times New Roman" w:hAnsi="Calibri" w:cs="Calibri"/>
          <w:color w:val="000000"/>
        </w:rPr>
        <w:t xml:space="preserve">Como já tive oportunidade de referir em anteriores intervenções, a celebração de aniversários </w:t>
      </w:r>
      <w:r w:rsidRPr="004A0699">
        <w:rPr>
          <w:rFonts w:ascii="Calibri" w:eastAsia="Times New Roman" w:hAnsi="Calibri" w:cs="Calibri"/>
          <w:color w:val="000000"/>
        </w:rPr>
        <w:t>constitui sempre uma oportunidade para refletir, para olhar para o passado, avaliar o caminho percorrido</w:t>
      </w:r>
      <w:r w:rsidR="008E0820">
        <w:rPr>
          <w:rFonts w:ascii="Calibri" w:eastAsia="Times New Roman" w:hAnsi="Calibri" w:cs="Calibri"/>
          <w:color w:val="000000"/>
        </w:rPr>
        <w:t xml:space="preserve"> e </w:t>
      </w:r>
      <w:r>
        <w:rPr>
          <w:rFonts w:ascii="Calibri" w:eastAsia="Times New Roman" w:hAnsi="Calibri" w:cs="Calibri"/>
          <w:color w:val="000000"/>
        </w:rPr>
        <w:t>perspetivar o futuro. Não fugirei a essa regra.</w:t>
      </w:r>
      <w:r w:rsidR="00D4700B">
        <w:rPr>
          <w:rFonts w:ascii="Calibri" w:eastAsia="Times New Roman" w:hAnsi="Calibri" w:cs="Calibri"/>
          <w:color w:val="000000"/>
        </w:rPr>
        <w:t xml:space="preserve"> Sendo que no caso da Universidade do Algarve, os ciclos reitorais estão alinhados c</w:t>
      </w:r>
      <w:r w:rsidR="008E0820">
        <w:rPr>
          <w:rFonts w:ascii="Calibri" w:eastAsia="Times New Roman" w:hAnsi="Calibri" w:cs="Calibri"/>
          <w:color w:val="000000"/>
        </w:rPr>
        <w:t>om o aniversário da instituição, o que potencia esse exercício.</w:t>
      </w:r>
    </w:p>
    <w:p w:rsidR="00D4700B" w:rsidRDefault="00D4700B" w:rsidP="001D13CF">
      <w:pPr>
        <w:jc w:val="both"/>
        <w:rPr>
          <w:rFonts w:ascii="Calibri" w:eastAsia="Times New Roman" w:hAnsi="Calibri" w:cs="Calibri"/>
          <w:color w:val="000000"/>
        </w:rPr>
      </w:pPr>
    </w:p>
    <w:p w:rsidR="00393CC0" w:rsidRDefault="007F63C8" w:rsidP="001D13CF">
      <w:pPr>
        <w:jc w:val="both"/>
        <w:rPr>
          <w:rFonts w:ascii="Calibri" w:eastAsia="Times New Roman" w:hAnsi="Calibri" w:cs="Calibri"/>
          <w:color w:val="000000"/>
        </w:rPr>
      </w:pPr>
      <w:r>
        <w:rPr>
          <w:rFonts w:ascii="Calibri" w:eastAsia="Times New Roman" w:hAnsi="Calibri" w:cs="Calibri"/>
          <w:color w:val="000000"/>
        </w:rPr>
        <w:t>Em 2020, completá</w:t>
      </w:r>
      <w:r w:rsidR="00D4700B">
        <w:rPr>
          <w:rFonts w:ascii="Calibri" w:eastAsia="Times New Roman" w:hAnsi="Calibri" w:cs="Calibri"/>
          <w:color w:val="000000"/>
        </w:rPr>
        <w:t xml:space="preserve">mos o 3.º ano do mandato de 4 anos. </w:t>
      </w:r>
      <w:r w:rsidR="00AC63F1">
        <w:rPr>
          <w:rFonts w:ascii="Calibri" w:eastAsia="Times New Roman" w:hAnsi="Calibri" w:cs="Calibri"/>
          <w:color w:val="000000"/>
        </w:rPr>
        <w:t>Permitam-me registar um agradecimento público à equipa reitoral que tomou posse no dia 13 de dezembro de 2017. Saúl, Ana, Alexandra, Maribela e João</w:t>
      </w:r>
      <w:r w:rsidR="005015CB">
        <w:rPr>
          <w:rFonts w:ascii="Calibri" w:eastAsia="Times New Roman" w:hAnsi="Calibri" w:cs="Calibri"/>
          <w:color w:val="000000"/>
        </w:rPr>
        <w:t>, obrigado,</w:t>
      </w:r>
      <w:r w:rsidR="00AC63F1">
        <w:rPr>
          <w:rFonts w:ascii="Calibri" w:eastAsia="Times New Roman" w:hAnsi="Calibri" w:cs="Calibri"/>
          <w:color w:val="000000"/>
        </w:rPr>
        <w:t xml:space="preserve"> não tem sido fácil</w:t>
      </w:r>
      <w:r w:rsidR="00393CC0">
        <w:rPr>
          <w:rFonts w:ascii="Calibri" w:eastAsia="Times New Roman" w:hAnsi="Calibri" w:cs="Calibri"/>
          <w:color w:val="000000"/>
        </w:rPr>
        <w:t>. A vossa perseverança tem sido determinante.</w:t>
      </w:r>
    </w:p>
    <w:p w:rsidR="00393CC0" w:rsidRDefault="00393CC0" w:rsidP="001D13CF">
      <w:pPr>
        <w:jc w:val="both"/>
        <w:rPr>
          <w:rFonts w:ascii="Calibri" w:eastAsia="Times New Roman" w:hAnsi="Calibri" w:cs="Calibri"/>
          <w:color w:val="000000"/>
        </w:rPr>
      </w:pPr>
    </w:p>
    <w:p w:rsidR="00393CC0" w:rsidRDefault="00393CC0" w:rsidP="001D13CF">
      <w:pPr>
        <w:jc w:val="both"/>
        <w:rPr>
          <w:rFonts w:ascii="Calibri" w:eastAsia="Times New Roman" w:hAnsi="Calibri" w:cs="Calibri"/>
          <w:color w:val="000000"/>
        </w:rPr>
      </w:pPr>
      <w:r>
        <w:rPr>
          <w:rFonts w:ascii="Calibri" w:eastAsia="Times New Roman" w:hAnsi="Calibri" w:cs="Calibri"/>
          <w:color w:val="000000"/>
        </w:rPr>
        <w:t>Para muitos de nós, 2020 terá sido um dos anos ma</w:t>
      </w:r>
      <w:r w:rsidR="009F0C75">
        <w:rPr>
          <w:rFonts w:ascii="Calibri" w:eastAsia="Times New Roman" w:hAnsi="Calibri" w:cs="Calibri"/>
          <w:color w:val="000000"/>
        </w:rPr>
        <w:t>is desafiantes das nossas vidas, senão o mais desafiante. No dia 12 de março suspendemos as atividades letivas presenciais e no dia 16 a suspensão foi a</w:t>
      </w:r>
      <w:r w:rsidR="005015CB">
        <w:rPr>
          <w:rFonts w:ascii="Calibri" w:eastAsia="Times New Roman" w:hAnsi="Calibri" w:cs="Calibri"/>
          <w:color w:val="000000"/>
        </w:rPr>
        <w:t>largada às restantes atividades não letivas.</w:t>
      </w:r>
    </w:p>
    <w:p w:rsidR="00315E6C" w:rsidRDefault="00315E6C" w:rsidP="001D13CF">
      <w:pPr>
        <w:jc w:val="both"/>
        <w:rPr>
          <w:rFonts w:ascii="Calibri" w:eastAsia="Times New Roman" w:hAnsi="Calibri" w:cs="Calibri"/>
          <w:color w:val="000000"/>
        </w:rPr>
      </w:pPr>
    </w:p>
    <w:p w:rsidR="00315E6C" w:rsidRDefault="00315E6C" w:rsidP="001D13CF">
      <w:pPr>
        <w:jc w:val="both"/>
        <w:rPr>
          <w:rFonts w:ascii="Calibri" w:eastAsia="Times New Roman" w:hAnsi="Calibri" w:cs="Calibri"/>
          <w:color w:val="000000"/>
        </w:rPr>
      </w:pPr>
      <w:r>
        <w:rPr>
          <w:rFonts w:ascii="Calibri" w:eastAsia="Times New Roman" w:hAnsi="Calibri" w:cs="Calibri"/>
          <w:color w:val="000000"/>
        </w:rPr>
        <w:t xml:space="preserve">Considero que a resposta dada pela instituição foi, a todos os níveis, notável. </w:t>
      </w:r>
      <w:r w:rsidR="00E2030B">
        <w:rPr>
          <w:rFonts w:ascii="Calibri" w:eastAsia="Times New Roman" w:hAnsi="Calibri" w:cs="Calibri"/>
          <w:color w:val="000000"/>
        </w:rPr>
        <w:t>A capacidade de adaptação associada a um eleva</w:t>
      </w:r>
      <w:r w:rsidR="000C4004">
        <w:rPr>
          <w:rFonts w:ascii="Calibri" w:eastAsia="Times New Roman" w:hAnsi="Calibri" w:cs="Calibri"/>
          <w:color w:val="000000"/>
        </w:rPr>
        <w:t>díssimo empenho de toda a comunidade académica</w:t>
      </w:r>
      <w:r w:rsidR="003451A0">
        <w:rPr>
          <w:rFonts w:ascii="Calibri" w:eastAsia="Times New Roman" w:hAnsi="Calibri" w:cs="Calibri"/>
          <w:color w:val="000000"/>
        </w:rPr>
        <w:t>, sem exceção,</w:t>
      </w:r>
      <w:r w:rsidR="000C4004">
        <w:rPr>
          <w:rFonts w:ascii="Calibri" w:eastAsia="Times New Roman" w:hAnsi="Calibri" w:cs="Calibri"/>
          <w:color w:val="000000"/>
        </w:rPr>
        <w:t xml:space="preserve"> foram decisivos para continuarmos a desenvolver a nossa atividade</w:t>
      </w:r>
      <w:r w:rsidR="007660FD">
        <w:rPr>
          <w:rFonts w:ascii="Calibri" w:eastAsia="Times New Roman" w:hAnsi="Calibri" w:cs="Calibri"/>
          <w:color w:val="000000"/>
        </w:rPr>
        <w:t>.</w:t>
      </w:r>
      <w:r>
        <w:rPr>
          <w:rFonts w:ascii="Calibri" w:eastAsia="Times New Roman" w:hAnsi="Calibri" w:cs="Calibri"/>
          <w:color w:val="000000"/>
        </w:rPr>
        <w:t xml:space="preserve"> </w:t>
      </w:r>
    </w:p>
    <w:p w:rsidR="003451A0" w:rsidRDefault="003451A0" w:rsidP="001D13CF">
      <w:pPr>
        <w:jc w:val="both"/>
        <w:rPr>
          <w:rFonts w:ascii="Calibri" w:eastAsia="Times New Roman" w:hAnsi="Calibri" w:cs="Calibri"/>
          <w:color w:val="000000"/>
        </w:rPr>
      </w:pPr>
    </w:p>
    <w:p w:rsidR="003B3380" w:rsidRDefault="008A262A" w:rsidP="001D13CF">
      <w:pPr>
        <w:jc w:val="both"/>
        <w:rPr>
          <w:rFonts w:ascii="Calibri" w:eastAsia="Times New Roman" w:hAnsi="Calibri" w:cs="Calibri"/>
          <w:color w:val="000000"/>
        </w:rPr>
      </w:pPr>
      <w:r>
        <w:rPr>
          <w:rFonts w:ascii="Calibri" w:eastAsia="Times New Roman" w:hAnsi="Calibri" w:cs="Calibri"/>
          <w:color w:val="000000"/>
        </w:rPr>
        <w:t>A passagem ao ensino remoto, praticamente de um dia para o outro, sem interrupções</w:t>
      </w:r>
      <w:r w:rsidR="003B3380">
        <w:rPr>
          <w:rFonts w:ascii="Calibri" w:eastAsia="Times New Roman" w:hAnsi="Calibri" w:cs="Calibri"/>
          <w:color w:val="000000"/>
        </w:rPr>
        <w:t>,</w:t>
      </w:r>
      <w:r>
        <w:rPr>
          <w:rFonts w:ascii="Calibri" w:eastAsia="Times New Roman" w:hAnsi="Calibri" w:cs="Calibri"/>
          <w:color w:val="000000"/>
        </w:rPr>
        <w:t xml:space="preserve"> </w:t>
      </w:r>
      <w:r w:rsidR="005015CB">
        <w:rPr>
          <w:rFonts w:ascii="Calibri" w:eastAsia="Times New Roman" w:hAnsi="Calibri" w:cs="Calibri"/>
          <w:color w:val="000000"/>
        </w:rPr>
        <w:t xml:space="preserve">que </w:t>
      </w:r>
      <w:r w:rsidR="003B3380">
        <w:rPr>
          <w:rFonts w:ascii="Calibri" w:eastAsia="Times New Roman" w:hAnsi="Calibri" w:cs="Calibri"/>
          <w:color w:val="000000"/>
        </w:rPr>
        <w:t>permitiu</w:t>
      </w:r>
      <w:r>
        <w:rPr>
          <w:rFonts w:ascii="Calibri" w:eastAsia="Times New Roman" w:hAnsi="Calibri" w:cs="Calibri"/>
          <w:color w:val="000000"/>
        </w:rPr>
        <w:t xml:space="preserve"> o cumprimento do calendário </w:t>
      </w:r>
      <w:r w:rsidR="003B3380">
        <w:rPr>
          <w:rFonts w:ascii="Calibri" w:eastAsia="Times New Roman" w:hAnsi="Calibri" w:cs="Calibri"/>
          <w:color w:val="000000"/>
        </w:rPr>
        <w:t>escolar para o ano letivo 2019/20 sem alteração de datas</w:t>
      </w:r>
      <w:r>
        <w:rPr>
          <w:rFonts w:ascii="Calibri" w:eastAsia="Times New Roman" w:hAnsi="Calibri" w:cs="Calibri"/>
          <w:color w:val="000000"/>
        </w:rPr>
        <w:t>, só foi possível graças</w:t>
      </w:r>
      <w:r w:rsidR="003B3380">
        <w:rPr>
          <w:rFonts w:ascii="Calibri" w:eastAsia="Times New Roman" w:hAnsi="Calibri" w:cs="Calibri"/>
          <w:color w:val="000000"/>
        </w:rPr>
        <w:t>:</w:t>
      </w:r>
    </w:p>
    <w:p w:rsidR="003B3380" w:rsidRDefault="003B3380" w:rsidP="001D13CF">
      <w:pPr>
        <w:jc w:val="both"/>
        <w:rPr>
          <w:rFonts w:ascii="Calibri" w:eastAsia="Times New Roman" w:hAnsi="Calibri" w:cs="Calibri"/>
          <w:color w:val="000000"/>
        </w:rPr>
      </w:pPr>
      <w:r>
        <w:rPr>
          <w:rFonts w:ascii="Calibri" w:eastAsia="Times New Roman" w:hAnsi="Calibri" w:cs="Calibri"/>
          <w:color w:val="000000"/>
        </w:rPr>
        <w:t>- Por um lado,</w:t>
      </w:r>
      <w:r w:rsidR="008A262A">
        <w:rPr>
          <w:rFonts w:ascii="Calibri" w:eastAsia="Times New Roman" w:hAnsi="Calibri" w:cs="Calibri"/>
          <w:color w:val="000000"/>
        </w:rPr>
        <w:t xml:space="preserve"> à capacidade dos Serviços de Informática em assegurar o </w:t>
      </w:r>
      <w:r>
        <w:rPr>
          <w:rFonts w:ascii="Calibri" w:eastAsia="Times New Roman" w:hAnsi="Calibri" w:cs="Calibri"/>
          <w:color w:val="000000"/>
        </w:rPr>
        <w:t>f</w:t>
      </w:r>
      <w:r w:rsidR="008A262A">
        <w:rPr>
          <w:rFonts w:ascii="Calibri" w:eastAsia="Times New Roman" w:hAnsi="Calibri" w:cs="Calibri"/>
          <w:color w:val="000000"/>
        </w:rPr>
        <w:t>uncionamento em tempo de real de plataformas de ensino a distância</w:t>
      </w:r>
      <w:r>
        <w:rPr>
          <w:rFonts w:ascii="Calibri" w:eastAsia="Times New Roman" w:hAnsi="Calibri" w:cs="Calibri"/>
          <w:color w:val="000000"/>
        </w:rPr>
        <w:t>;</w:t>
      </w:r>
    </w:p>
    <w:p w:rsidR="00D4700B" w:rsidRDefault="003B3380" w:rsidP="001D13CF">
      <w:pPr>
        <w:jc w:val="both"/>
        <w:rPr>
          <w:rFonts w:ascii="Calibri" w:eastAsia="Times New Roman" w:hAnsi="Calibri" w:cs="Calibri"/>
          <w:color w:val="000000"/>
        </w:rPr>
      </w:pPr>
      <w:r>
        <w:rPr>
          <w:rFonts w:ascii="Calibri" w:eastAsia="Times New Roman" w:hAnsi="Calibri" w:cs="Calibri"/>
          <w:color w:val="000000"/>
        </w:rPr>
        <w:lastRenderedPageBreak/>
        <w:t xml:space="preserve">- Por outro lado, ao </w:t>
      </w:r>
      <w:r w:rsidR="00C2315B">
        <w:rPr>
          <w:rFonts w:ascii="Calibri" w:eastAsia="Times New Roman" w:hAnsi="Calibri" w:cs="Calibri"/>
          <w:color w:val="000000"/>
        </w:rPr>
        <w:t xml:space="preserve">tremendo </w:t>
      </w:r>
      <w:r>
        <w:rPr>
          <w:rFonts w:ascii="Calibri" w:eastAsia="Times New Roman" w:hAnsi="Calibri" w:cs="Calibri"/>
          <w:color w:val="000000"/>
        </w:rPr>
        <w:t>esforço desenvolvido pelo corpo docente</w:t>
      </w:r>
      <w:r w:rsidR="00B91D84">
        <w:rPr>
          <w:rFonts w:ascii="Calibri" w:eastAsia="Times New Roman" w:hAnsi="Calibri" w:cs="Calibri"/>
          <w:color w:val="000000"/>
        </w:rPr>
        <w:t xml:space="preserve"> que rapidamente se adaptou a uma nova realidade.</w:t>
      </w:r>
      <w:r>
        <w:rPr>
          <w:rFonts w:ascii="Calibri" w:eastAsia="Times New Roman" w:hAnsi="Calibri" w:cs="Calibri"/>
          <w:color w:val="000000"/>
        </w:rPr>
        <w:t xml:space="preserve"> </w:t>
      </w:r>
      <w:r w:rsidR="00393CC0">
        <w:rPr>
          <w:rFonts w:ascii="Calibri" w:eastAsia="Times New Roman" w:hAnsi="Calibri" w:cs="Calibri"/>
          <w:color w:val="000000"/>
        </w:rPr>
        <w:t xml:space="preserve"> </w:t>
      </w:r>
    </w:p>
    <w:p w:rsidR="007660FD" w:rsidRDefault="007660FD" w:rsidP="001D13CF">
      <w:pPr>
        <w:jc w:val="both"/>
        <w:rPr>
          <w:rFonts w:ascii="Calibri" w:eastAsia="Times New Roman" w:hAnsi="Calibri" w:cs="Calibri"/>
          <w:color w:val="000000"/>
        </w:rPr>
      </w:pPr>
    </w:p>
    <w:p w:rsidR="00303247" w:rsidRDefault="00C2315B" w:rsidP="001D13CF">
      <w:pPr>
        <w:jc w:val="both"/>
        <w:rPr>
          <w:rFonts w:ascii="Calibri" w:eastAsia="Times New Roman" w:hAnsi="Calibri" w:cs="Calibri"/>
          <w:color w:val="000000"/>
        </w:rPr>
      </w:pPr>
      <w:r>
        <w:rPr>
          <w:rFonts w:ascii="Calibri" w:eastAsia="Times New Roman" w:hAnsi="Calibri" w:cs="Calibri"/>
          <w:color w:val="000000"/>
        </w:rPr>
        <w:t>A preparação do ano</w:t>
      </w:r>
      <w:r w:rsidR="00FF2081">
        <w:rPr>
          <w:rFonts w:ascii="Calibri" w:eastAsia="Times New Roman" w:hAnsi="Calibri" w:cs="Calibri"/>
          <w:color w:val="000000"/>
        </w:rPr>
        <w:t xml:space="preserve"> letivo 2020/21, marcado pelo regresso do ensino</w:t>
      </w:r>
      <w:r w:rsidR="00316CDA">
        <w:rPr>
          <w:rFonts w:ascii="Calibri" w:eastAsia="Times New Roman" w:hAnsi="Calibri" w:cs="Calibri"/>
          <w:color w:val="000000"/>
        </w:rPr>
        <w:t xml:space="preserve"> presencia</w:t>
      </w:r>
      <w:r w:rsidR="00FF2081">
        <w:rPr>
          <w:rFonts w:ascii="Calibri" w:eastAsia="Times New Roman" w:hAnsi="Calibri" w:cs="Calibri"/>
          <w:color w:val="000000"/>
        </w:rPr>
        <w:t>l</w:t>
      </w:r>
      <w:r w:rsidR="00316CDA">
        <w:rPr>
          <w:rFonts w:ascii="Calibri" w:eastAsia="Times New Roman" w:hAnsi="Calibri" w:cs="Calibri"/>
          <w:color w:val="000000"/>
        </w:rPr>
        <w:t xml:space="preserve">, </w:t>
      </w:r>
      <w:r w:rsidR="00FF2081">
        <w:rPr>
          <w:rFonts w:ascii="Calibri" w:eastAsia="Times New Roman" w:hAnsi="Calibri" w:cs="Calibri"/>
          <w:color w:val="000000"/>
        </w:rPr>
        <w:t xml:space="preserve">exigiu o melhor de nós. </w:t>
      </w:r>
    </w:p>
    <w:p w:rsidR="00303247" w:rsidRDefault="0014421F" w:rsidP="001D13CF">
      <w:pPr>
        <w:jc w:val="both"/>
        <w:rPr>
          <w:rFonts w:ascii="Calibri" w:eastAsia="Times New Roman" w:hAnsi="Calibri" w:cs="Calibri"/>
          <w:color w:val="000000"/>
        </w:rPr>
      </w:pPr>
      <w:r>
        <w:rPr>
          <w:rFonts w:ascii="Calibri" w:eastAsia="Times New Roman" w:hAnsi="Calibri" w:cs="Calibri"/>
          <w:color w:val="000000"/>
        </w:rPr>
        <w:t>Os Serviços Técnicos coordenaram</w:t>
      </w:r>
      <w:r w:rsidR="00303247">
        <w:rPr>
          <w:rFonts w:ascii="Calibri" w:eastAsia="Times New Roman" w:hAnsi="Calibri" w:cs="Calibri"/>
          <w:color w:val="000000"/>
        </w:rPr>
        <w:t>, exemplarmente,</w:t>
      </w:r>
      <w:r>
        <w:rPr>
          <w:rFonts w:ascii="Calibri" w:eastAsia="Times New Roman" w:hAnsi="Calibri" w:cs="Calibri"/>
          <w:color w:val="000000"/>
        </w:rPr>
        <w:t xml:space="preserve"> </w:t>
      </w:r>
      <w:r w:rsidR="00303247">
        <w:rPr>
          <w:rFonts w:ascii="Calibri" w:eastAsia="Times New Roman" w:hAnsi="Calibri" w:cs="Calibri"/>
          <w:color w:val="000000"/>
        </w:rPr>
        <w:t>o que designamos por logística COVID, essencial para cumprirmos as recomendações da Direção Geral de Saúde e da Direção Geral do Ensino Superior.</w:t>
      </w:r>
    </w:p>
    <w:p w:rsidR="00F34595" w:rsidRDefault="00303247" w:rsidP="001D13CF">
      <w:pPr>
        <w:jc w:val="both"/>
        <w:rPr>
          <w:rFonts w:ascii="Calibri" w:eastAsia="Times New Roman" w:hAnsi="Calibri" w:cs="Calibri"/>
          <w:color w:val="000000"/>
        </w:rPr>
      </w:pPr>
      <w:r>
        <w:rPr>
          <w:rFonts w:ascii="Calibri" w:eastAsia="Times New Roman" w:hAnsi="Calibri" w:cs="Calibri"/>
          <w:color w:val="000000"/>
        </w:rPr>
        <w:t>Os Serviços Académicos</w:t>
      </w:r>
      <w:r w:rsidR="00F34595">
        <w:rPr>
          <w:rFonts w:ascii="Calibri" w:eastAsia="Times New Roman" w:hAnsi="Calibri" w:cs="Calibri"/>
          <w:color w:val="000000"/>
        </w:rPr>
        <w:t>, com o prestimoso apoio dos Serviços de Informática e do Gabinete de Comunicação, asseguraram a matrícula online para os novos estudantes.</w:t>
      </w:r>
    </w:p>
    <w:p w:rsidR="0014421F" w:rsidRDefault="00F34595" w:rsidP="001D13CF">
      <w:pPr>
        <w:jc w:val="both"/>
        <w:rPr>
          <w:rFonts w:ascii="Calibri" w:eastAsia="Times New Roman" w:hAnsi="Calibri" w:cs="Calibri"/>
          <w:color w:val="000000"/>
        </w:rPr>
      </w:pPr>
      <w:r>
        <w:rPr>
          <w:rFonts w:ascii="Calibri" w:eastAsia="Times New Roman" w:hAnsi="Calibri" w:cs="Calibri"/>
          <w:color w:val="000000"/>
        </w:rPr>
        <w:t xml:space="preserve">Os Serviços de Ação Social </w:t>
      </w:r>
      <w:r w:rsidR="002255E1">
        <w:rPr>
          <w:rFonts w:ascii="Calibri" w:eastAsia="Times New Roman" w:hAnsi="Calibri" w:cs="Calibri"/>
          <w:color w:val="000000"/>
        </w:rPr>
        <w:t>adaptaram os serviços de alimentação e de alojamento para garantirmos segurança para todos os utentes.</w:t>
      </w:r>
      <w:r w:rsidR="0014421F">
        <w:rPr>
          <w:rFonts w:ascii="Calibri" w:eastAsia="Times New Roman" w:hAnsi="Calibri" w:cs="Calibri"/>
          <w:color w:val="000000"/>
        </w:rPr>
        <w:t xml:space="preserve"> </w:t>
      </w:r>
      <w:r w:rsidR="00B25BB1">
        <w:rPr>
          <w:rFonts w:ascii="Calibri" w:eastAsia="Times New Roman" w:hAnsi="Calibri" w:cs="Calibri"/>
          <w:color w:val="000000"/>
        </w:rPr>
        <w:t>O mesmo aconteceu com as Bibliotecas.</w:t>
      </w:r>
    </w:p>
    <w:p w:rsidR="00CD3C0C" w:rsidRDefault="00FF2081" w:rsidP="001D13CF">
      <w:pPr>
        <w:jc w:val="both"/>
        <w:rPr>
          <w:rFonts w:ascii="Calibri" w:eastAsia="Times New Roman" w:hAnsi="Calibri" w:cs="Calibri"/>
          <w:color w:val="000000"/>
        </w:rPr>
      </w:pPr>
      <w:r>
        <w:rPr>
          <w:rFonts w:ascii="Calibri" w:eastAsia="Times New Roman" w:hAnsi="Calibri" w:cs="Calibri"/>
          <w:color w:val="000000"/>
        </w:rPr>
        <w:t>As Unidades Orgânicas foram inexcedíveis</w:t>
      </w:r>
      <w:r w:rsidR="00CD3C0C">
        <w:rPr>
          <w:rFonts w:ascii="Calibri" w:eastAsia="Times New Roman" w:hAnsi="Calibri" w:cs="Calibri"/>
          <w:color w:val="000000"/>
        </w:rPr>
        <w:t xml:space="preserve">: órgãos e docentes manifestaram, e continuam a manifestar, uma disponibilidade total para encontrar as melhores soluções </w:t>
      </w:r>
      <w:r w:rsidR="00A5133E">
        <w:rPr>
          <w:rFonts w:ascii="Calibri" w:eastAsia="Times New Roman" w:hAnsi="Calibri" w:cs="Calibri"/>
          <w:color w:val="000000"/>
        </w:rPr>
        <w:t>para assegurarmos com qualidade o processo de ensino e aprendizagem.</w:t>
      </w:r>
    </w:p>
    <w:p w:rsidR="005015CB" w:rsidRDefault="005015CB" w:rsidP="001D13CF">
      <w:pPr>
        <w:jc w:val="both"/>
        <w:rPr>
          <w:rFonts w:ascii="Calibri" w:eastAsia="Times New Roman" w:hAnsi="Calibri" w:cs="Calibri"/>
          <w:color w:val="000000"/>
        </w:rPr>
      </w:pPr>
    </w:p>
    <w:p w:rsidR="00C2315B" w:rsidRDefault="003176D9" w:rsidP="001D13CF">
      <w:pPr>
        <w:jc w:val="both"/>
        <w:rPr>
          <w:rFonts w:ascii="Calibri" w:eastAsia="Times New Roman" w:hAnsi="Calibri" w:cs="Calibri"/>
          <w:color w:val="000000"/>
        </w:rPr>
      </w:pPr>
      <w:r>
        <w:rPr>
          <w:rFonts w:ascii="Calibri" w:eastAsia="Times New Roman" w:hAnsi="Calibri" w:cs="Calibri"/>
          <w:color w:val="000000"/>
        </w:rPr>
        <w:t>A fórmula para o sucesso foi simples: Competência; Determinação; Trabalho; Sentido de Responsabilidade; Bom Senso.</w:t>
      </w:r>
      <w:r w:rsidR="00FF2081">
        <w:rPr>
          <w:rFonts w:ascii="Calibri" w:eastAsia="Times New Roman" w:hAnsi="Calibri" w:cs="Calibri"/>
          <w:color w:val="000000"/>
        </w:rPr>
        <w:t xml:space="preserve"> </w:t>
      </w:r>
    </w:p>
    <w:p w:rsidR="009D3B21" w:rsidRDefault="009D3B21" w:rsidP="001D13CF">
      <w:pPr>
        <w:jc w:val="both"/>
        <w:rPr>
          <w:rFonts w:ascii="Calibri" w:eastAsia="Times New Roman" w:hAnsi="Calibri" w:cs="Calibri"/>
          <w:color w:val="000000"/>
        </w:rPr>
      </w:pPr>
    </w:p>
    <w:p w:rsidR="00E151AE" w:rsidRDefault="00F06224" w:rsidP="001D13CF">
      <w:pPr>
        <w:jc w:val="both"/>
        <w:rPr>
          <w:rFonts w:ascii="Calibri" w:eastAsia="Times New Roman" w:hAnsi="Calibri" w:cs="Calibri"/>
          <w:color w:val="000000"/>
        </w:rPr>
      </w:pPr>
      <w:r>
        <w:rPr>
          <w:rFonts w:ascii="Calibri" w:eastAsia="Times New Roman" w:hAnsi="Calibri" w:cs="Calibri"/>
          <w:color w:val="000000"/>
        </w:rPr>
        <w:t>Chegados à 11.ª</w:t>
      </w:r>
      <w:r w:rsidR="002C4641">
        <w:rPr>
          <w:rFonts w:ascii="Calibri" w:eastAsia="Times New Roman" w:hAnsi="Calibri" w:cs="Calibri"/>
          <w:color w:val="000000"/>
        </w:rPr>
        <w:t xml:space="preserve"> semana de aulas</w:t>
      </w:r>
      <w:r>
        <w:rPr>
          <w:rFonts w:ascii="Calibri" w:eastAsia="Times New Roman" w:hAnsi="Calibri" w:cs="Calibri"/>
          <w:color w:val="000000"/>
        </w:rPr>
        <w:t>, e última de 2020,</w:t>
      </w:r>
      <w:r w:rsidR="002C4641">
        <w:rPr>
          <w:rFonts w:ascii="Calibri" w:eastAsia="Times New Roman" w:hAnsi="Calibri" w:cs="Calibri"/>
          <w:color w:val="000000"/>
        </w:rPr>
        <w:t xml:space="preserve"> é possível </w:t>
      </w:r>
      <w:r w:rsidR="00EA7356">
        <w:rPr>
          <w:rFonts w:ascii="Calibri" w:eastAsia="Times New Roman" w:hAnsi="Calibri" w:cs="Calibri"/>
          <w:color w:val="000000"/>
        </w:rPr>
        <w:t>fazer um balanço extremamente positivo.</w:t>
      </w:r>
      <w:r w:rsidR="009D3B21">
        <w:rPr>
          <w:rFonts w:ascii="Calibri" w:eastAsia="Times New Roman" w:hAnsi="Calibri" w:cs="Calibri"/>
          <w:color w:val="000000"/>
        </w:rPr>
        <w:t xml:space="preserve"> Conseguimos criar as condiç</w:t>
      </w:r>
      <w:r w:rsidR="0063614D">
        <w:rPr>
          <w:rFonts w:ascii="Calibri" w:eastAsia="Times New Roman" w:hAnsi="Calibri" w:cs="Calibri"/>
          <w:color w:val="000000"/>
        </w:rPr>
        <w:t>ões para um funcionamento em segurança</w:t>
      </w:r>
      <w:r w:rsidR="00E22B35">
        <w:rPr>
          <w:rFonts w:ascii="Calibri" w:eastAsia="Times New Roman" w:hAnsi="Calibri" w:cs="Calibri"/>
          <w:color w:val="000000"/>
        </w:rPr>
        <w:t xml:space="preserve">, reconhecendo </w:t>
      </w:r>
      <w:r w:rsidR="00027C82">
        <w:rPr>
          <w:rFonts w:ascii="Calibri" w:eastAsia="Times New Roman" w:hAnsi="Calibri" w:cs="Calibri"/>
          <w:color w:val="000000"/>
        </w:rPr>
        <w:t>que o cumprimento das recomendações por parte de toda a comunidade (estudantes, docentes, investigadores e funcionários não docentes)</w:t>
      </w:r>
      <w:r w:rsidR="00841678">
        <w:rPr>
          <w:rFonts w:ascii="Calibri" w:eastAsia="Times New Roman" w:hAnsi="Calibri" w:cs="Calibri"/>
          <w:color w:val="000000"/>
        </w:rPr>
        <w:t>,</w:t>
      </w:r>
      <w:r w:rsidR="00027C82">
        <w:rPr>
          <w:rFonts w:ascii="Calibri" w:eastAsia="Times New Roman" w:hAnsi="Calibri" w:cs="Calibri"/>
          <w:color w:val="000000"/>
        </w:rPr>
        <w:t xml:space="preserve"> nomeadamente o distanciamento físico, o uso de máscara e a higienização,</w:t>
      </w:r>
      <w:r w:rsidR="00E22B35">
        <w:rPr>
          <w:rFonts w:ascii="Calibri" w:eastAsia="Times New Roman" w:hAnsi="Calibri" w:cs="Calibri"/>
          <w:color w:val="000000"/>
        </w:rPr>
        <w:t xml:space="preserve"> </w:t>
      </w:r>
      <w:r w:rsidR="0063614D">
        <w:rPr>
          <w:rFonts w:ascii="Calibri" w:eastAsia="Times New Roman" w:hAnsi="Calibri" w:cs="Calibri"/>
          <w:color w:val="000000"/>
        </w:rPr>
        <w:t>tem sido c</w:t>
      </w:r>
      <w:r w:rsidR="00027C82">
        <w:rPr>
          <w:rFonts w:ascii="Calibri" w:eastAsia="Times New Roman" w:hAnsi="Calibri" w:cs="Calibri"/>
          <w:color w:val="000000"/>
        </w:rPr>
        <w:t>rucial para impedir cadeias de transmissão a partir de contactos realizados nos espaços da universidade.</w:t>
      </w:r>
    </w:p>
    <w:p w:rsidR="00F06224" w:rsidRDefault="00F06224" w:rsidP="001D13CF">
      <w:pPr>
        <w:jc w:val="both"/>
        <w:rPr>
          <w:rFonts w:ascii="Calibri" w:eastAsia="Times New Roman" w:hAnsi="Calibri" w:cs="Calibri"/>
          <w:color w:val="000000"/>
        </w:rPr>
      </w:pPr>
    </w:p>
    <w:p w:rsidR="00B25BB1" w:rsidRDefault="00BF721E" w:rsidP="001D13CF">
      <w:pPr>
        <w:jc w:val="both"/>
        <w:rPr>
          <w:rFonts w:ascii="Calibri" w:eastAsia="Times New Roman" w:hAnsi="Calibri" w:cs="Calibri"/>
          <w:color w:val="000000"/>
        </w:rPr>
      </w:pPr>
      <w:r>
        <w:rPr>
          <w:rFonts w:ascii="Calibri" w:eastAsia="Times New Roman" w:hAnsi="Calibri" w:cs="Calibri"/>
          <w:color w:val="000000"/>
        </w:rPr>
        <w:t xml:space="preserve">Não </w:t>
      </w:r>
      <w:r w:rsidR="00B25BB1">
        <w:rPr>
          <w:rFonts w:ascii="Calibri" w:eastAsia="Times New Roman" w:hAnsi="Calibri" w:cs="Calibri"/>
          <w:color w:val="000000"/>
        </w:rPr>
        <w:t>seria justo não mencionar</w:t>
      </w:r>
      <w:r>
        <w:rPr>
          <w:rFonts w:ascii="Calibri" w:eastAsia="Times New Roman" w:hAnsi="Calibri" w:cs="Calibri"/>
          <w:color w:val="000000"/>
        </w:rPr>
        <w:t xml:space="preserve"> o trabalho absolutamente essencial desenvolvido por serviços de suporte, com menor exposição aos estudantes</w:t>
      </w:r>
      <w:r w:rsidR="00B25BB1">
        <w:rPr>
          <w:rFonts w:ascii="Calibri" w:eastAsia="Times New Roman" w:hAnsi="Calibri" w:cs="Calibri"/>
          <w:color w:val="000000"/>
        </w:rPr>
        <w:t>, mas indispensáveis</w:t>
      </w:r>
      <w:r>
        <w:rPr>
          <w:rFonts w:ascii="Calibri" w:eastAsia="Times New Roman" w:hAnsi="Calibri" w:cs="Calibri"/>
          <w:color w:val="000000"/>
        </w:rPr>
        <w:t xml:space="preserve"> para o funcionamento da instituição</w:t>
      </w:r>
      <w:r w:rsidR="00B25BB1">
        <w:rPr>
          <w:rFonts w:ascii="Calibri" w:eastAsia="Times New Roman" w:hAnsi="Calibri" w:cs="Calibri"/>
          <w:color w:val="000000"/>
        </w:rPr>
        <w:t>. Refiro-me aos Serviços de Apoio Geral, aos Serviços Financeiros e Patrimoniais e aos Serviços de Recursos Humanos.</w:t>
      </w:r>
    </w:p>
    <w:p w:rsidR="00F06224" w:rsidRDefault="00F06224" w:rsidP="001D13CF">
      <w:pPr>
        <w:jc w:val="both"/>
        <w:rPr>
          <w:rFonts w:ascii="Calibri" w:eastAsia="Times New Roman" w:hAnsi="Calibri" w:cs="Calibri"/>
          <w:color w:val="000000"/>
        </w:rPr>
      </w:pPr>
    </w:p>
    <w:p w:rsidR="00B348BF" w:rsidRDefault="00F77024" w:rsidP="001D13CF">
      <w:pPr>
        <w:jc w:val="both"/>
        <w:rPr>
          <w:rFonts w:ascii="Calibri" w:eastAsia="Times New Roman" w:hAnsi="Calibri" w:cs="Calibri"/>
          <w:color w:val="000000"/>
        </w:rPr>
      </w:pPr>
      <w:r>
        <w:rPr>
          <w:rFonts w:ascii="Calibri" w:eastAsia="Times New Roman" w:hAnsi="Calibri" w:cs="Calibri"/>
          <w:color w:val="000000"/>
        </w:rPr>
        <w:t xml:space="preserve">As atividades de investigação e de transferência </w:t>
      </w:r>
      <w:r w:rsidR="00D601C4">
        <w:rPr>
          <w:rFonts w:ascii="Calibri" w:eastAsia="Times New Roman" w:hAnsi="Calibri" w:cs="Calibri"/>
          <w:color w:val="000000"/>
        </w:rPr>
        <w:t xml:space="preserve">também </w:t>
      </w:r>
      <w:r w:rsidR="0063614D">
        <w:rPr>
          <w:rFonts w:ascii="Calibri" w:eastAsia="Times New Roman" w:hAnsi="Calibri" w:cs="Calibri"/>
          <w:color w:val="000000"/>
        </w:rPr>
        <w:t xml:space="preserve">têm sido capazes de </w:t>
      </w:r>
      <w:r w:rsidR="00BD571F">
        <w:rPr>
          <w:rFonts w:ascii="Calibri" w:eastAsia="Times New Roman" w:hAnsi="Calibri" w:cs="Calibri"/>
          <w:color w:val="000000"/>
        </w:rPr>
        <w:t>responder ao</w:t>
      </w:r>
      <w:r w:rsidR="0063614D">
        <w:rPr>
          <w:rFonts w:ascii="Calibri" w:eastAsia="Times New Roman" w:hAnsi="Calibri" w:cs="Calibri"/>
          <w:color w:val="000000"/>
        </w:rPr>
        <w:t>s</w:t>
      </w:r>
      <w:r w:rsidR="00BD571F">
        <w:rPr>
          <w:rFonts w:ascii="Calibri" w:eastAsia="Times New Roman" w:hAnsi="Calibri" w:cs="Calibri"/>
          <w:color w:val="000000"/>
        </w:rPr>
        <w:t xml:space="preserve"> desafio</w:t>
      </w:r>
      <w:r w:rsidR="0063614D">
        <w:rPr>
          <w:rFonts w:ascii="Calibri" w:eastAsia="Times New Roman" w:hAnsi="Calibri" w:cs="Calibri"/>
          <w:color w:val="000000"/>
        </w:rPr>
        <w:t>s</w:t>
      </w:r>
      <w:r w:rsidR="00BD571F">
        <w:rPr>
          <w:rFonts w:ascii="Calibri" w:eastAsia="Times New Roman" w:hAnsi="Calibri" w:cs="Calibri"/>
          <w:color w:val="000000"/>
        </w:rPr>
        <w:t xml:space="preserve"> provocado</w:t>
      </w:r>
      <w:r w:rsidR="0063614D">
        <w:rPr>
          <w:rFonts w:ascii="Calibri" w:eastAsia="Times New Roman" w:hAnsi="Calibri" w:cs="Calibri"/>
          <w:color w:val="000000"/>
        </w:rPr>
        <w:t>s</w:t>
      </w:r>
      <w:r w:rsidR="00BD571F">
        <w:rPr>
          <w:rFonts w:ascii="Calibri" w:eastAsia="Times New Roman" w:hAnsi="Calibri" w:cs="Calibri"/>
          <w:color w:val="000000"/>
        </w:rPr>
        <w:t xml:space="preserve"> pela crise pandémica. As Unidades de Investigação e os seus investigadores, sem deixar de ser</w:t>
      </w:r>
      <w:r w:rsidR="00B348BF">
        <w:rPr>
          <w:rFonts w:ascii="Calibri" w:eastAsia="Times New Roman" w:hAnsi="Calibri" w:cs="Calibri"/>
          <w:color w:val="000000"/>
        </w:rPr>
        <w:t>em</w:t>
      </w:r>
      <w:r w:rsidR="00BD571F">
        <w:rPr>
          <w:rFonts w:ascii="Calibri" w:eastAsia="Times New Roman" w:hAnsi="Calibri" w:cs="Calibri"/>
          <w:color w:val="000000"/>
        </w:rPr>
        <w:t xml:space="preserve"> afetados nalguns casos, foram capazes de manter as suas atividades sem sobressaltos de maior</w:t>
      </w:r>
      <w:r w:rsidR="00B348BF">
        <w:rPr>
          <w:rFonts w:ascii="Calibri" w:eastAsia="Times New Roman" w:hAnsi="Calibri" w:cs="Calibri"/>
          <w:color w:val="000000"/>
        </w:rPr>
        <w:t xml:space="preserve">, continuando a </w:t>
      </w:r>
      <w:r w:rsidR="0063217D">
        <w:rPr>
          <w:rFonts w:ascii="Calibri" w:eastAsia="Times New Roman" w:hAnsi="Calibri" w:cs="Calibri"/>
          <w:color w:val="000000"/>
        </w:rPr>
        <w:t>contar com o</w:t>
      </w:r>
      <w:r w:rsidR="00B348BF">
        <w:rPr>
          <w:rFonts w:ascii="Calibri" w:eastAsia="Times New Roman" w:hAnsi="Calibri" w:cs="Calibri"/>
          <w:color w:val="000000"/>
        </w:rPr>
        <w:t xml:space="preserve"> apoio </w:t>
      </w:r>
      <w:r w:rsidR="0063217D">
        <w:rPr>
          <w:rFonts w:ascii="Calibri" w:eastAsia="Times New Roman" w:hAnsi="Calibri" w:cs="Calibri"/>
          <w:color w:val="000000"/>
        </w:rPr>
        <w:t>d</w:t>
      </w:r>
      <w:r w:rsidR="00B348BF">
        <w:rPr>
          <w:rFonts w:ascii="Calibri" w:eastAsia="Times New Roman" w:hAnsi="Calibri" w:cs="Calibri"/>
          <w:color w:val="000000"/>
        </w:rPr>
        <w:t>a UAIC.</w:t>
      </w:r>
    </w:p>
    <w:p w:rsidR="0063217D" w:rsidRDefault="0063217D" w:rsidP="001D13CF">
      <w:pPr>
        <w:pStyle w:val="PargrafodaLista"/>
        <w:ind w:left="0"/>
        <w:contextualSpacing w:val="0"/>
        <w:rPr>
          <w:rFonts w:cs="Prelo-MediumItalic"/>
          <w:iCs/>
        </w:rPr>
      </w:pPr>
    </w:p>
    <w:p w:rsidR="0076606E" w:rsidRDefault="008774F2" w:rsidP="001D13CF">
      <w:pPr>
        <w:pStyle w:val="PargrafodaLista"/>
        <w:ind w:left="0"/>
        <w:contextualSpacing w:val="0"/>
        <w:rPr>
          <w:rFonts w:cs="Prelo-MediumItalic"/>
          <w:iCs/>
        </w:rPr>
      </w:pPr>
      <w:r>
        <w:rPr>
          <w:rFonts w:cs="Prelo-MediumItalic"/>
          <w:iCs/>
        </w:rPr>
        <w:t>A Visão definida n</w:t>
      </w:r>
      <w:r w:rsidR="0063217D">
        <w:rPr>
          <w:rFonts w:cs="Prelo-MediumItalic"/>
          <w:iCs/>
        </w:rPr>
        <w:t>o Plano Estratégico 2017-2021:</w:t>
      </w:r>
      <w:r>
        <w:rPr>
          <w:rFonts w:cs="Prelo-MediumItalic"/>
          <w:iCs/>
        </w:rPr>
        <w:t xml:space="preserve"> “p</w:t>
      </w:r>
      <w:r w:rsidRPr="002A5135">
        <w:t xml:space="preserve">romover a sustentabilidade através da inovação e </w:t>
      </w:r>
      <w:r>
        <w:t xml:space="preserve">da </w:t>
      </w:r>
      <w:r w:rsidRPr="002A5135">
        <w:t>inclusão</w:t>
      </w:r>
      <w:r>
        <w:t>,</w:t>
      </w:r>
      <w:r w:rsidRPr="002A5135">
        <w:t xml:space="preserve"> no ensino e na investigação</w:t>
      </w:r>
      <w:r>
        <w:t xml:space="preserve">, num clima de proximidade”, permanece atual e saiu reforçada pela crise pandémica, que </w:t>
      </w:r>
      <w:r w:rsidR="0076606E">
        <w:rPr>
          <w:rFonts w:cs="Prelo-MediumItalic"/>
          <w:iCs/>
        </w:rPr>
        <w:t xml:space="preserve">em nada veio alterar o principal desafio definido para o quadriénio que se aproxima do seu final: </w:t>
      </w:r>
    </w:p>
    <w:p w:rsidR="0076606E" w:rsidRDefault="0063217D" w:rsidP="001D13CF">
      <w:pPr>
        <w:pStyle w:val="PargrafodaLista"/>
        <w:ind w:left="0"/>
        <w:contextualSpacing w:val="0"/>
        <w:rPr>
          <w:rFonts w:cs="Prelo-MediumItalic"/>
          <w:iCs/>
        </w:rPr>
      </w:pPr>
      <w:r>
        <w:rPr>
          <w:rFonts w:cs="Prelo-MediumItalic"/>
          <w:iCs/>
        </w:rPr>
        <w:t>“</w:t>
      </w:r>
      <w:r w:rsidR="0076606E">
        <w:rPr>
          <w:rFonts w:cs="Prelo-MediumItalic"/>
          <w:iCs/>
        </w:rPr>
        <w:t>A crescente afirmação da Instituição, através da expansão da nossa cadeia de valor</w:t>
      </w:r>
      <w:r w:rsidR="008774F2">
        <w:rPr>
          <w:rFonts w:cs="Prelo-MediumItalic"/>
          <w:iCs/>
        </w:rPr>
        <w:t>,</w:t>
      </w:r>
      <w:r w:rsidR="0076606E">
        <w:rPr>
          <w:rFonts w:cs="Prelo-MediumItalic"/>
          <w:iCs/>
        </w:rPr>
        <w:t xml:space="preserve"> cujas </w:t>
      </w:r>
      <w:r w:rsidR="00D80879">
        <w:rPr>
          <w:rFonts w:cs="Prelo-MediumItalic"/>
          <w:iCs/>
        </w:rPr>
        <w:t xml:space="preserve">atividades </w:t>
      </w:r>
      <w:r w:rsidR="008774F2">
        <w:rPr>
          <w:rFonts w:cs="Prelo-MediumItalic"/>
          <w:iCs/>
        </w:rPr>
        <w:t xml:space="preserve">primárias </w:t>
      </w:r>
      <w:r w:rsidR="00D80879">
        <w:rPr>
          <w:rFonts w:cs="Prelo-MediumItalic"/>
          <w:iCs/>
        </w:rPr>
        <w:t>são o Ensino, a Investigação &amp; Transferência e as Relações com a Comunidade, alicerçada nos nossos pontos fortes.</w:t>
      </w:r>
      <w:r>
        <w:rPr>
          <w:rFonts w:cs="Prelo-MediumItalic"/>
          <w:iCs/>
        </w:rPr>
        <w:t>”</w:t>
      </w:r>
    </w:p>
    <w:p w:rsidR="00A17A0C" w:rsidRDefault="00A02FA4" w:rsidP="001D13CF">
      <w:pPr>
        <w:spacing w:before="120" w:after="120"/>
        <w:jc w:val="both"/>
        <w:rPr>
          <w:rFonts w:asciiTheme="minorHAnsi" w:hAnsiTheme="minorHAnsi" w:cs="Prelo-MediumItalic"/>
          <w:iCs/>
          <w:lang w:eastAsia="en-US"/>
        </w:rPr>
      </w:pPr>
      <w:r w:rsidRPr="00A02FA4">
        <w:rPr>
          <w:rFonts w:asciiTheme="minorHAnsi" w:hAnsiTheme="minorHAnsi" w:cs="Prelo-MediumItalic"/>
          <w:iCs/>
          <w:lang w:eastAsia="en-US"/>
        </w:rPr>
        <w:lastRenderedPageBreak/>
        <w:t>Importa, pois, dar conta das principais atividades e resultados alcançados, assim como das perspetivas para 2021</w:t>
      </w:r>
      <w:r w:rsidR="00936831">
        <w:rPr>
          <w:rFonts w:asciiTheme="minorHAnsi" w:hAnsiTheme="minorHAnsi" w:cs="Prelo-MediumItalic"/>
          <w:iCs/>
          <w:lang w:eastAsia="en-US"/>
        </w:rPr>
        <w:t>, tendo como roteiro</w:t>
      </w:r>
      <w:r w:rsidRPr="00A02FA4">
        <w:rPr>
          <w:rFonts w:asciiTheme="minorHAnsi" w:hAnsiTheme="minorHAnsi" w:cs="Prelo-MediumItalic"/>
          <w:iCs/>
          <w:lang w:eastAsia="en-US"/>
        </w:rPr>
        <w:t xml:space="preserve"> os 4 objetivos estratégicos definidos para o mandato reitoral 2017-2021. </w:t>
      </w:r>
    </w:p>
    <w:p w:rsidR="0063217D" w:rsidRDefault="0063217D" w:rsidP="001D13CF">
      <w:pPr>
        <w:spacing w:before="120" w:after="120"/>
        <w:jc w:val="both"/>
        <w:rPr>
          <w:rFonts w:asciiTheme="minorHAnsi" w:hAnsiTheme="minorHAnsi" w:cstheme="minorHAnsi"/>
          <w:b/>
          <w:lang w:eastAsia="en-US"/>
        </w:rPr>
      </w:pPr>
    </w:p>
    <w:p w:rsidR="00435A0F" w:rsidRDefault="00773EE4" w:rsidP="001D13CF">
      <w:pPr>
        <w:spacing w:before="120" w:after="120"/>
        <w:jc w:val="both"/>
        <w:rPr>
          <w:rFonts w:asciiTheme="minorHAnsi" w:hAnsiTheme="minorHAnsi" w:cstheme="minorHAnsi"/>
          <w:b/>
          <w:lang w:eastAsia="en-US"/>
        </w:rPr>
      </w:pPr>
      <w:r>
        <w:rPr>
          <w:rFonts w:asciiTheme="minorHAnsi" w:hAnsiTheme="minorHAnsi" w:cstheme="minorHAnsi"/>
          <w:b/>
          <w:lang w:eastAsia="en-US"/>
        </w:rPr>
        <w:t xml:space="preserve">1.º </w:t>
      </w:r>
      <w:r w:rsidR="00936831" w:rsidRPr="003B1661">
        <w:rPr>
          <w:rFonts w:asciiTheme="minorHAnsi" w:hAnsiTheme="minorHAnsi" w:cstheme="minorHAnsi"/>
          <w:b/>
          <w:lang w:eastAsia="en-US"/>
        </w:rPr>
        <w:t xml:space="preserve">Objetivo estratégico </w:t>
      </w:r>
      <w:r w:rsidR="00435A0F">
        <w:rPr>
          <w:rFonts w:asciiTheme="minorHAnsi" w:hAnsiTheme="minorHAnsi" w:cstheme="minorHAnsi"/>
          <w:b/>
          <w:lang w:eastAsia="en-US"/>
        </w:rPr>
        <w:t>(Relativo ao Ensino):</w:t>
      </w:r>
    </w:p>
    <w:p w:rsidR="00936831" w:rsidRPr="003B1661" w:rsidRDefault="00435A0F" w:rsidP="001D13CF">
      <w:pPr>
        <w:spacing w:before="120" w:after="120"/>
        <w:jc w:val="both"/>
        <w:rPr>
          <w:rFonts w:asciiTheme="minorHAnsi" w:hAnsiTheme="minorHAnsi" w:cstheme="minorHAnsi"/>
          <w:b/>
          <w:lang w:eastAsia="en-US"/>
        </w:rPr>
      </w:pPr>
      <w:r>
        <w:rPr>
          <w:rFonts w:asciiTheme="minorHAnsi" w:hAnsiTheme="minorHAnsi" w:cstheme="minorHAnsi"/>
          <w:b/>
          <w:lang w:eastAsia="en-US"/>
        </w:rPr>
        <w:t>A</w:t>
      </w:r>
      <w:r w:rsidR="00936831" w:rsidRPr="003B1661">
        <w:rPr>
          <w:rFonts w:asciiTheme="minorHAnsi" w:hAnsiTheme="minorHAnsi" w:cstheme="minorHAnsi"/>
          <w:b/>
          <w:lang w:eastAsia="en-US"/>
        </w:rPr>
        <w:t>umentar o número de estudantes e de diplomados, com boa</w:t>
      </w:r>
      <w:r w:rsidR="00936831" w:rsidRPr="003B1661">
        <w:rPr>
          <w:rFonts w:cstheme="minorHAnsi"/>
          <w:b/>
          <w:bCs/>
        </w:rPr>
        <w:t xml:space="preserve"> </w:t>
      </w:r>
      <w:r w:rsidR="00936831" w:rsidRPr="003B1661">
        <w:rPr>
          <w:rFonts w:asciiTheme="minorHAnsi" w:hAnsiTheme="minorHAnsi" w:cstheme="minorHAnsi"/>
          <w:b/>
          <w:lang w:eastAsia="en-US"/>
        </w:rPr>
        <w:t>integração no mercado de trabalho, para os vários níveis de formação</w:t>
      </w:r>
    </w:p>
    <w:p w:rsidR="002E4963" w:rsidRDefault="00936831"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Em 2019</w:t>
      </w:r>
      <w:r w:rsidRPr="00AC03AF">
        <w:rPr>
          <w:rFonts w:asciiTheme="minorHAnsi" w:hAnsiTheme="minorHAnsi" w:cstheme="minorHAnsi"/>
          <w:lang w:eastAsia="en-US"/>
        </w:rPr>
        <w:t>/</w:t>
      </w:r>
      <w:r>
        <w:rPr>
          <w:rFonts w:asciiTheme="minorHAnsi" w:hAnsiTheme="minorHAnsi" w:cstheme="minorHAnsi"/>
          <w:lang w:eastAsia="en-US"/>
        </w:rPr>
        <w:t>20</w:t>
      </w:r>
      <w:r w:rsidRPr="00AC03AF">
        <w:rPr>
          <w:rFonts w:asciiTheme="minorHAnsi" w:hAnsiTheme="minorHAnsi" w:cstheme="minorHAnsi"/>
          <w:lang w:eastAsia="en-US"/>
        </w:rPr>
        <w:t>, o número de inscritos voltou a aumentar (+</w:t>
      </w:r>
      <w:r w:rsidR="00435A0F">
        <w:rPr>
          <w:rFonts w:asciiTheme="minorHAnsi" w:hAnsiTheme="minorHAnsi" w:cstheme="minorHAnsi"/>
          <w:lang w:eastAsia="en-US"/>
        </w:rPr>
        <w:t>3</w:t>
      </w:r>
      <w:r w:rsidRPr="00AC03AF">
        <w:rPr>
          <w:rFonts w:asciiTheme="minorHAnsi" w:hAnsiTheme="minorHAnsi" w:cstheme="minorHAnsi"/>
          <w:lang w:eastAsia="en-US"/>
        </w:rPr>
        <w:t>%</w:t>
      </w:r>
      <w:r>
        <w:rPr>
          <w:rFonts w:asciiTheme="minorHAnsi" w:hAnsiTheme="minorHAnsi" w:cstheme="minorHAnsi"/>
          <w:lang w:eastAsia="en-US"/>
        </w:rPr>
        <w:t>). Voltámos a ultrapassar os 8</w:t>
      </w:r>
      <w:r w:rsidR="00435A0F">
        <w:rPr>
          <w:rFonts w:asciiTheme="minorHAnsi" w:hAnsiTheme="minorHAnsi" w:cstheme="minorHAnsi"/>
          <w:lang w:eastAsia="en-US"/>
        </w:rPr>
        <w:t>.</w:t>
      </w:r>
      <w:r>
        <w:rPr>
          <w:rFonts w:asciiTheme="minorHAnsi" w:hAnsiTheme="minorHAnsi" w:cstheme="minorHAnsi"/>
          <w:lang w:eastAsia="en-US"/>
        </w:rPr>
        <w:t>000 estudantes</w:t>
      </w:r>
      <w:r w:rsidR="001E791C">
        <w:rPr>
          <w:rFonts w:asciiTheme="minorHAnsi" w:hAnsiTheme="minorHAnsi" w:cstheme="minorHAnsi"/>
          <w:lang w:eastAsia="en-US"/>
        </w:rPr>
        <w:t xml:space="preserve"> de grau, o que não acontecia desde 2011/12. </w:t>
      </w:r>
      <w:r>
        <w:rPr>
          <w:rFonts w:asciiTheme="minorHAnsi" w:hAnsiTheme="minorHAnsi" w:cstheme="minorHAnsi"/>
          <w:lang w:eastAsia="en-US"/>
        </w:rPr>
        <w:t>Foi o 4</w:t>
      </w:r>
      <w:r w:rsidRPr="00AC03AF">
        <w:rPr>
          <w:rFonts w:asciiTheme="minorHAnsi" w:hAnsiTheme="minorHAnsi" w:cstheme="minorHAnsi"/>
          <w:lang w:eastAsia="en-US"/>
        </w:rPr>
        <w:t xml:space="preserve">.º ano de consecutivo de crescimento. </w:t>
      </w:r>
      <w:r w:rsidR="001E791C">
        <w:rPr>
          <w:rFonts w:asciiTheme="minorHAnsi" w:hAnsiTheme="minorHAnsi" w:cstheme="minorHAnsi"/>
          <w:lang w:eastAsia="en-US"/>
        </w:rPr>
        <w:t xml:space="preserve">Importa realçar que </w:t>
      </w:r>
      <w:r w:rsidR="00C8648A">
        <w:rPr>
          <w:rFonts w:asciiTheme="minorHAnsi" w:hAnsiTheme="minorHAnsi" w:cstheme="minorHAnsi"/>
          <w:lang w:eastAsia="en-US"/>
        </w:rPr>
        <w:t xml:space="preserve">entre 2015/16 e 2019/20 o crescimento na UAlg foi praticamente o dobro do verificado a </w:t>
      </w:r>
      <w:r w:rsidR="00EB6980">
        <w:rPr>
          <w:rFonts w:asciiTheme="minorHAnsi" w:hAnsiTheme="minorHAnsi" w:cstheme="minorHAnsi"/>
          <w:lang w:eastAsia="en-US"/>
        </w:rPr>
        <w:t>nível nacional</w:t>
      </w:r>
      <w:r w:rsidR="00C8648A">
        <w:rPr>
          <w:rFonts w:asciiTheme="minorHAnsi" w:hAnsiTheme="minorHAnsi" w:cstheme="minorHAnsi"/>
          <w:lang w:eastAsia="en-US"/>
        </w:rPr>
        <w:t>. Precisamente o oposto do que ocorreu no período de 2010/11 a 2015/16, em que o nosso decrescimento superou em mais de duas vezes a quebra ocorrida a nív</w:t>
      </w:r>
      <w:r w:rsidR="00EB6980">
        <w:rPr>
          <w:rFonts w:asciiTheme="minorHAnsi" w:hAnsiTheme="minorHAnsi" w:cstheme="minorHAnsi"/>
          <w:lang w:eastAsia="en-US"/>
        </w:rPr>
        <w:t>el nacional.</w:t>
      </w:r>
    </w:p>
    <w:p w:rsidR="002E4963" w:rsidRDefault="002E4963" w:rsidP="001D13CF">
      <w:pPr>
        <w:pStyle w:val="NormalWeb"/>
        <w:spacing w:before="120" w:after="120"/>
        <w:jc w:val="both"/>
        <w:rPr>
          <w:rFonts w:asciiTheme="minorHAnsi" w:hAnsiTheme="minorHAnsi" w:cstheme="minorHAnsi"/>
          <w:lang w:eastAsia="en-US"/>
        </w:rPr>
      </w:pPr>
      <w:r w:rsidRPr="00AC03AF">
        <w:rPr>
          <w:rFonts w:asciiTheme="minorHAnsi" w:hAnsiTheme="minorHAnsi" w:cstheme="minorHAnsi"/>
          <w:lang w:eastAsia="en-US"/>
        </w:rPr>
        <w:t>O crescimento manteve-se mais forte entre os estudantes de nacionalidade estrangeira</w:t>
      </w:r>
      <w:r>
        <w:rPr>
          <w:rFonts w:asciiTheme="minorHAnsi" w:hAnsiTheme="minorHAnsi" w:cstheme="minorHAnsi"/>
          <w:lang w:eastAsia="en-US"/>
        </w:rPr>
        <w:t xml:space="preserve"> (+8%)</w:t>
      </w:r>
      <w:r w:rsidRPr="00AC03AF">
        <w:rPr>
          <w:rFonts w:asciiTheme="minorHAnsi" w:hAnsiTheme="minorHAnsi" w:cstheme="minorHAnsi"/>
          <w:lang w:eastAsia="en-US"/>
        </w:rPr>
        <w:t>,</w:t>
      </w:r>
      <w:r>
        <w:rPr>
          <w:rFonts w:asciiTheme="minorHAnsi" w:hAnsiTheme="minorHAnsi" w:cstheme="minorHAnsi"/>
          <w:lang w:eastAsia="en-US"/>
        </w:rPr>
        <w:t xml:space="preserve"> que passaram a representar 22</w:t>
      </w:r>
      <w:r w:rsidRPr="00AC03AF">
        <w:rPr>
          <w:rFonts w:asciiTheme="minorHAnsi" w:hAnsiTheme="minorHAnsi" w:cstheme="minorHAnsi"/>
          <w:lang w:eastAsia="en-US"/>
        </w:rPr>
        <w:t>% do total (estão incluídos os estudantes de mobilidade).</w:t>
      </w:r>
    </w:p>
    <w:p w:rsidR="00986E02" w:rsidRDefault="00936831" w:rsidP="001D13CF">
      <w:pPr>
        <w:pStyle w:val="NormalWeb"/>
        <w:spacing w:before="120" w:after="120"/>
        <w:jc w:val="both"/>
        <w:rPr>
          <w:rFonts w:asciiTheme="minorHAnsi" w:hAnsiTheme="minorHAnsi" w:cstheme="minorHAnsi"/>
          <w:lang w:eastAsia="en-US"/>
        </w:rPr>
      </w:pPr>
      <w:r w:rsidRPr="00AC03AF">
        <w:rPr>
          <w:rFonts w:asciiTheme="minorHAnsi" w:hAnsiTheme="minorHAnsi" w:cstheme="minorHAnsi"/>
          <w:lang w:eastAsia="en-US"/>
        </w:rPr>
        <w:t xml:space="preserve">Os indicadores disponíveis apontam </w:t>
      </w:r>
      <w:r w:rsidR="00986E02">
        <w:rPr>
          <w:rFonts w:asciiTheme="minorHAnsi" w:hAnsiTheme="minorHAnsi" w:cstheme="minorHAnsi"/>
          <w:lang w:eastAsia="en-US"/>
        </w:rPr>
        <w:t>para manutenção do</w:t>
      </w:r>
      <w:r w:rsidR="002E4963">
        <w:rPr>
          <w:rFonts w:asciiTheme="minorHAnsi" w:hAnsiTheme="minorHAnsi" w:cstheme="minorHAnsi"/>
          <w:lang w:eastAsia="en-US"/>
        </w:rPr>
        <w:t xml:space="preserve"> crescimento em 2020/21</w:t>
      </w:r>
      <w:r w:rsidR="00986E02">
        <w:rPr>
          <w:rFonts w:asciiTheme="minorHAnsi" w:hAnsiTheme="minorHAnsi" w:cstheme="minorHAnsi"/>
          <w:lang w:eastAsia="en-US"/>
        </w:rPr>
        <w:t xml:space="preserve">, </w:t>
      </w:r>
      <w:r w:rsidR="00EF3BA4">
        <w:rPr>
          <w:rFonts w:asciiTheme="minorHAnsi" w:hAnsiTheme="minorHAnsi" w:cstheme="minorHAnsi"/>
          <w:lang w:eastAsia="en-US"/>
        </w:rPr>
        <w:t xml:space="preserve">contudo não será alicerçado nos estudantes de nacionalidade estrangeira, cujo recrutamento </w:t>
      </w:r>
      <w:r w:rsidR="004A6D33">
        <w:rPr>
          <w:rFonts w:asciiTheme="minorHAnsi" w:hAnsiTheme="minorHAnsi" w:cstheme="minorHAnsi"/>
          <w:lang w:eastAsia="en-US"/>
        </w:rPr>
        <w:t xml:space="preserve">de novos estudantes foi bastante afetado pela crise pandémica. </w:t>
      </w:r>
      <w:r w:rsidR="00AD5332">
        <w:rPr>
          <w:rFonts w:asciiTheme="minorHAnsi" w:hAnsiTheme="minorHAnsi" w:cstheme="minorHAnsi"/>
          <w:lang w:eastAsia="en-US"/>
        </w:rPr>
        <w:t>Em contrapartida, fo</w:t>
      </w:r>
      <w:r w:rsidR="004A6D33">
        <w:rPr>
          <w:rFonts w:asciiTheme="minorHAnsi" w:hAnsiTheme="minorHAnsi" w:cstheme="minorHAnsi"/>
          <w:lang w:eastAsia="en-US"/>
        </w:rPr>
        <w:t>mos particularmente bem</w:t>
      </w:r>
      <w:r w:rsidR="002F516B">
        <w:rPr>
          <w:rFonts w:asciiTheme="minorHAnsi" w:hAnsiTheme="minorHAnsi" w:cstheme="minorHAnsi"/>
          <w:lang w:eastAsia="en-US"/>
        </w:rPr>
        <w:t xml:space="preserve"> </w:t>
      </w:r>
      <w:r w:rsidR="004A6D33">
        <w:rPr>
          <w:rFonts w:asciiTheme="minorHAnsi" w:hAnsiTheme="minorHAnsi" w:cstheme="minorHAnsi"/>
          <w:lang w:eastAsia="en-US"/>
        </w:rPr>
        <w:t xml:space="preserve">sucedidos no recrutamento </w:t>
      </w:r>
      <w:r w:rsidR="00773EE4">
        <w:rPr>
          <w:rFonts w:asciiTheme="minorHAnsi" w:hAnsiTheme="minorHAnsi" w:cstheme="minorHAnsi"/>
          <w:lang w:eastAsia="en-US"/>
        </w:rPr>
        <w:t xml:space="preserve">de novos estudantes </w:t>
      </w:r>
      <w:r w:rsidR="004A6D33">
        <w:rPr>
          <w:rFonts w:asciiTheme="minorHAnsi" w:hAnsiTheme="minorHAnsi" w:cstheme="minorHAnsi"/>
          <w:lang w:eastAsia="en-US"/>
        </w:rPr>
        <w:t xml:space="preserve">através do Concurso Nacional de Acesso ao </w:t>
      </w:r>
      <w:r w:rsidR="00F3631A">
        <w:rPr>
          <w:rFonts w:asciiTheme="minorHAnsi" w:hAnsiTheme="minorHAnsi" w:cstheme="minorHAnsi"/>
          <w:lang w:eastAsia="en-US"/>
        </w:rPr>
        <w:t>Ensino Superior, com um crescimento de 30% face ao ano anterior. A nível nacional o crescimento foi de 15%.</w:t>
      </w:r>
      <w:r w:rsidR="004A6D33">
        <w:rPr>
          <w:rFonts w:asciiTheme="minorHAnsi" w:hAnsiTheme="minorHAnsi" w:cstheme="minorHAnsi"/>
          <w:lang w:eastAsia="en-US"/>
        </w:rPr>
        <w:t xml:space="preserve"> </w:t>
      </w:r>
      <w:r w:rsidRPr="00AC03AF">
        <w:rPr>
          <w:rFonts w:asciiTheme="minorHAnsi" w:hAnsiTheme="minorHAnsi" w:cstheme="minorHAnsi"/>
          <w:lang w:eastAsia="en-US"/>
        </w:rPr>
        <w:t xml:space="preserve"> </w:t>
      </w:r>
    </w:p>
    <w:p w:rsidR="00986E02" w:rsidRDefault="00B03228"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Em termos globais, o número total de diplomados também au</w:t>
      </w:r>
      <w:r w:rsidR="002F516B">
        <w:rPr>
          <w:rFonts w:asciiTheme="minorHAnsi" w:hAnsiTheme="minorHAnsi" w:cstheme="minorHAnsi"/>
          <w:lang w:eastAsia="en-US"/>
        </w:rPr>
        <w:t>mentou em 2018/19, esperando-se que o mesmo possa</w:t>
      </w:r>
      <w:r w:rsidR="00773EE4">
        <w:rPr>
          <w:rFonts w:asciiTheme="minorHAnsi" w:hAnsiTheme="minorHAnsi" w:cstheme="minorHAnsi"/>
          <w:lang w:eastAsia="en-US"/>
        </w:rPr>
        <w:t xml:space="preserve"> ocorrer em 2019/20, reflexo do</w:t>
      </w:r>
      <w:r w:rsidR="002F516B">
        <w:rPr>
          <w:rFonts w:asciiTheme="minorHAnsi" w:hAnsiTheme="minorHAnsi" w:cstheme="minorHAnsi"/>
          <w:lang w:eastAsia="en-US"/>
        </w:rPr>
        <w:t xml:space="preserve"> cres</w:t>
      </w:r>
      <w:r w:rsidR="00A67D82">
        <w:rPr>
          <w:rFonts w:asciiTheme="minorHAnsi" w:hAnsiTheme="minorHAnsi" w:cstheme="minorHAnsi"/>
          <w:lang w:eastAsia="en-US"/>
        </w:rPr>
        <w:t>cimento do número de estudantes que tem vindo acontecer desde 2015/16.</w:t>
      </w:r>
    </w:p>
    <w:p w:rsidR="00435A0F" w:rsidRDefault="00A67D82"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Esta dinâmica global de crescimento do número de estudantes e do número de diplomados não </w:t>
      </w:r>
      <w:r w:rsidR="002C4270">
        <w:rPr>
          <w:rFonts w:asciiTheme="minorHAnsi" w:hAnsiTheme="minorHAnsi" w:cstheme="minorHAnsi"/>
          <w:lang w:eastAsia="en-US"/>
        </w:rPr>
        <w:t xml:space="preserve">abrangeu os cursos de 3.º ciclo, </w:t>
      </w:r>
      <w:r w:rsidR="003B1661">
        <w:rPr>
          <w:rFonts w:asciiTheme="minorHAnsi" w:hAnsiTheme="minorHAnsi" w:cstheme="minorHAnsi"/>
          <w:lang w:eastAsia="en-US"/>
        </w:rPr>
        <w:t>onde se tem vindo a registar</w:t>
      </w:r>
      <w:r w:rsidR="002C4270">
        <w:rPr>
          <w:rFonts w:asciiTheme="minorHAnsi" w:hAnsiTheme="minorHAnsi" w:cstheme="minorHAnsi"/>
          <w:lang w:eastAsia="en-US"/>
        </w:rPr>
        <w:t xml:space="preserve"> decréscimo</w:t>
      </w:r>
      <w:r w:rsidR="003B1661">
        <w:rPr>
          <w:rFonts w:asciiTheme="minorHAnsi" w:hAnsiTheme="minorHAnsi" w:cstheme="minorHAnsi"/>
          <w:lang w:eastAsia="en-US"/>
        </w:rPr>
        <w:t>s</w:t>
      </w:r>
      <w:r w:rsidR="002C4270">
        <w:rPr>
          <w:rFonts w:asciiTheme="minorHAnsi" w:hAnsiTheme="minorHAnsi" w:cstheme="minorHAnsi"/>
          <w:lang w:eastAsia="en-US"/>
        </w:rPr>
        <w:t>, o que constitui um forte motivo de preocupação.</w:t>
      </w:r>
      <w:r w:rsidR="003B1661">
        <w:rPr>
          <w:rFonts w:asciiTheme="minorHAnsi" w:hAnsiTheme="minorHAnsi" w:cstheme="minorHAnsi"/>
          <w:lang w:eastAsia="en-US"/>
        </w:rPr>
        <w:t xml:space="preserve"> </w:t>
      </w:r>
      <w:r w:rsidR="009C76A5">
        <w:rPr>
          <w:rFonts w:asciiTheme="minorHAnsi" w:hAnsiTheme="minorHAnsi" w:cstheme="minorHAnsi"/>
          <w:lang w:eastAsia="en-US"/>
        </w:rPr>
        <w:t xml:space="preserve">Estamos convictos que iremos conseguir reverter a situação. </w:t>
      </w:r>
    </w:p>
    <w:p w:rsidR="00435A0F" w:rsidRDefault="009C76A5"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Para tal, contamos com a</w:t>
      </w:r>
      <w:r w:rsidR="003B1661">
        <w:rPr>
          <w:rFonts w:asciiTheme="minorHAnsi" w:hAnsiTheme="minorHAnsi" w:cstheme="minorHAnsi"/>
          <w:lang w:eastAsia="en-US"/>
        </w:rPr>
        <w:t xml:space="preserve"> nova política </w:t>
      </w:r>
      <w:r w:rsidR="005D0270">
        <w:rPr>
          <w:rFonts w:asciiTheme="minorHAnsi" w:hAnsiTheme="minorHAnsi" w:cstheme="minorHAnsi"/>
          <w:lang w:eastAsia="en-US"/>
        </w:rPr>
        <w:t xml:space="preserve">da Fundação para a Ciência e Tecnologia </w:t>
      </w:r>
      <w:r w:rsidR="003B1661">
        <w:rPr>
          <w:rFonts w:asciiTheme="minorHAnsi" w:hAnsiTheme="minorHAnsi" w:cstheme="minorHAnsi"/>
          <w:lang w:eastAsia="en-US"/>
        </w:rPr>
        <w:t>com atribuição de bolsas de doutoramento aos Centros de Investigação</w:t>
      </w:r>
      <w:r w:rsidR="00435A0F">
        <w:rPr>
          <w:rFonts w:asciiTheme="minorHAnsi" w:hAnsiTheme="minorHAnsi" w:cstheme="minorHAnsi"/>
          <w:lang w:eastAsia="en-US"/>
        </w:rPr>
        <w:t>, num total de 43 a que se adicionam mais 20 do concurso individual</w:t>
      </w:r>
      <w:r>
        <w:rPr>
          <w:rFonts w:asciiTheme="minorHAnsi" w:hAnsiTheme="minorHAnsi" w:cstheme="minorHAnsi"/>
          <w:lang w:eastAsia="en-US"/>
        </w:rPr>
        <w:t>.</w:t>
      </w:r>
      <w:r w:rsidR="005D0270">
        <w:rPr>
          <w:rFonts w:asciiTheme="minorHAnsi" w:hAnsiTheme="minorHAnsi" w:cstheme="minorHAnsi"/>
          <w:lang w:eastAsia="en-US"/>
        </w:rPr>
        <w:t xml:space="preserve"> </w:t>
      </w:r>
    </w:p>
    <w:p w:rsidR="0043103F" w:rsidRDefault="00435A0F"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Mas não só. </w:t>
      </w:r>
    </w:p>
    <w:p w:rsidR="00435A0F" w:rsidRDefault="00435A0F"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Em março deste ano</w:t>
      </w:r>
      <w:r w:rsidR="005D0270">
        <w:rPr>
          <w:rFonts w:asciiTheme="minorHAnsi" w:hAnsiTheme="minorHAnsi" w:cstheme="minorHAnsi"/>
          <w:lang w:eastAsia="en-US"/>
        </w:rPr>
        <w:t xml:space="preserve">, a Faculdade </w:t>
      </w:r>
      <w:r w:rsidR="00E6054A">
        <w:rPr>
          <w:rFonts w:asciiTheme="minorHAnsi" w:hAnsiTheme="minorHAnsi" w:cstheme="minorHAnsi"/>
          <w:lang w:eastAsia="en-US"/>
        </w:rPr>
        <w:t xml:space="preserve">de Economia </w:t>
      </w:r>
      <w:r w:rsidR="009C76A5">
        <w:rPr>
          <w:rFonts w:asciiTheme="minorHAnsi" w:hAnsiTheme="minorHAnsi" w:cstheme="minorHAnsi"/>
          <w:lang w:eastAsia="en-US"/>
        </w:rPr>
        <w:t xml:space="preserve">iniciou </w:t>
      </w:r>
      <w:r w:rsidR="005D0270">
        <w:rPr>
          <w:rFonts w:asciiTheme="minorHAnsi" w:hAnsiTheme="minorHAnsi" w:cstheme="minorHAnsi"/>
          <w:lang w:eastAsia="en-US"/>
        </w:rPr>
        <w:t>em C</w:t>
      </w:r>
      <w:r w:rsidR="009C76A5">
        <w:rPr>
          <w:rFonts w:asciiTheme="minorHAnsi" w:hAnsiTheme="minorHAnsi" w:cstheme="minorHAnsi"/>
          <w:lang w:eastAsia="en-US"/>
        </w:rPr>
        <w:t>abo Verde e</w:t>
      </w:r>
      <w:r w:rsidR="00E6054A">
        <w:rPr>
          <w:rFonts w:asciiTheme="minorHAnsi" w:hAnsiTheme="minorHAnsi" w:cstheme="minorHAnsi"/>
          <w:lang w:eastAsia="en-US"/>
        </w:rPr>
        <w:t xml:space="preserve">dições dos </w:t>
      </w:r>
      <w:r w:rsidR="009C76A5">
        <w:rPr>
          <w:rFonts w:asciiTheme="minorHAnsi" w:hAnsiTheme="minorHAnsi" w:cstheme="minorHAnsi"/>
          <w:lang w:eastAsia="en-US"/>
        </w:rPr>
        <w:t>programas de doutoramento em Ciências Económicas e Empresariais e em Turismo</w:t>
      </w:r>
      <w:r w:rsidR="005D0270">
        <w:rPr>
          <w:rFonts w:asciiTheme="minorHAnsi" w:hAnsiTheme="minorHAnsi" w:cstheme="minorHAnsi"/>
          <w:lang w:eastAsia="en-US"/>
        </w:rPr>
        <w:t>.</w:t>
      </w:r>
      <w:r w:rsidR="00DD7481">
        <w:rPr>
          <w:rFonts w:asciiTheme="minorHAnsi" w:hAnsiTheme="minorHAnsi" w:cstheme="minorHAnsi"/>
          <w:lang w:eastAsia="en-US"/>
        </w:rPr>
        <w:t xml:space="preserve"> Ainda este ano letivo a Faculdade de Medicina e Ciências Biomédicas dará início à 1.ª edição do programa de doutoramento em </w:t>
      </w:r>
      <w:r w:rsidR="00DD7481" w:rsidRPr="00DD7481">
        <w:rPr>
          <w:rFonts w:asciiTheme="minorHAnsi" w:hAnsiTheme="minorHAnsi" w:cstheme="minorHAnsi"/>
          <w:lang w:eastAsia="en-US"/>
        </w:rPr>
        <w:t>Investigação Clínica e Medicina Translacional</w:t>
      </w:r>
      <w:r w:rsidR="00515CDB">
        <w:rPr>
          <w:rFonts w:asciiTheme="minorHAnsi" w:hAnsiTheme="minorHAnsi" w:cstheme="minorHAnsi"/>
          <w:lang w:eastAsia="en-US"/>
        </w:rPr>
        <w:t xml:space="preserve">. </w:t>
      </w:r>
    </w:p>
    <w:p w:rsidR="002C4270" w:rsidRDefault="00515CDB"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Foram assinadas as primeiras co-tutelas internacionais, envolvendo programas de doutoramento da Faculdade de Ciências e Tecnologia, com universidades da China e de Marrocos, e outras estão em preparação. </w:t>
      </w:r>
      <w:r w:rsidR="00DD7481" w:rsidRPr="00DD7481">
        <w:rPr>
          <w:rFonts w:asciiTheme="minorHAnsi" w:hAnsiTheme="minorHAnsi" w:cstheme="minorHAnsi"/>
          <w:lang w:eastAsia="en-US"/>
        </w:rPr>
        <w:t xml:space="preserve"> </w:t>
      </w:r>
      <w:r w:rsidR="005D0270">
        <w:rPr>
          <w:rFonts w:asciiTheme="minorHAnsi" w:hAnsiTheme="minorHAnsi" w:cstheme="minorHAnsi"/>
          <w:lang w:eastAsia="en-US"/>
        </w:rPr>
        <w:t xml:space="preserve"> </w:t>
      </w:r>
      <w:r w:rsidR="009C76A5">
        <w:rPr>
          <w:rFonts w:asciiTheme="minorHAnsi" w:hAnsiTheme="minorHAnsi" w:cstheme="minorHAnsi"/>
          <w:lang w:eastAsia="en-US"/>
        </w:rPr>
        <w:t xml:space="preserve"> </w:t>
      </w:r>
      <w:r w:rsidR="00E6054A">
        <w:rPr>
          <w:rFonts w:asciiTheme="minorHAnsi" w:hAnsiTheme="minorHAnsi" w:cstheme="minorHAnsi"/>
          <w:lang w:eastAsia="en-US"/>
        </w:rPr>
        <w:t xml:space="preserve"> </w:t>
      </w:r>
    </w:p>
    <w:p w:rsidR="00515CDB" w:rsidRDefault="00CD57C0"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Mas a medida que consideramos mais estruturante foi a criação do Colégio Doutoral, a partir da comissão de coordenação dos doutoramentos, que visa aumentar a internacionalização dos programas doutorais, atrair melhores candidatos e mais financiamento</w:t>
      </w:r>
      <w:r w:rsidR="002F79EE">
        <w:rPr>
          <w:rFonts w:asciiTheme="minorHAnsi" w:hAnsiTheme="minorHAnsi" w:cstheme="minorHAnsi"/>
          <w:lang w:eastAsia="en-US"/>
        </w:rPr>
        <w:t xml:space="preserve"> e proporcionar mais competências aos nossos doutorandos em contextos profissionais. </w:t>
      </w:r>
      <w:r w:rsidR="0043103F">
        <w:rPr>
          <w:rFonts w:asciiTheme="minorHAnsi" w:hAnsiTheme="minorHAnsi" w:cstheme="minorHAnsi"/>
          <w:lang w:eastAsia="en-US"/>
        </w:rPr>
        <w:t>À</w:t>
      </w:r>
      <w:r w:rsidR="001B4E11">
        <w:rPr>
          <w:rFonts w:asciiTheme="minorHAnsi" w:hAnsiTheme="minorHAnsi" w:cstheme="minorHAnsi"/>
          <w:lang w:eastAsia="en-US"/>
        </w:rPr>
        <w:t xml:space="preserve"> Professora</w:t>
      </w:r>
      <w:r w:rsidR="00C95093">
        <w:rPr>
          <w:rFonts w:asciiTheme="minorHAnsi" w:hAnsiTheme="minorHAnsi" w:cstheme="minorHAnsi"/>
          <w:lang w:eastAsia="en-US"/>
        </w:rPr>
        <w:t xml:space="preserve"> Leonor </w:t>
      </w:r>
      <w:r w:rsidR="00C95093">
        <w:rPr>
          <w:rFonts w:asciiTheme="minorHAnsi" w:hAnsiTheme="minorHAnsi" w:cstheme="minorHAnsi"/>
          <w:lang w:eastAsia="en-US"/>
        </w:rPr>
        <w:lastRenderedPageBreak/>
        <w:t>Cancela</w:t>
      </w:r>
      <w:r w:rsidR="0043103F">
        <w:rPr>
          <w:rFonts w:asciiTheme="minorHAnsi" w:hAnsiTheme="minorHAnsi" w:cstheme="minorHAnsi"/>
          <w:lang w:eastAsia="en-US"/>
        </w:rPr>
        <w:t>,</w:t>
      </w:r>
      <w:r w:rsidR="001B4E11">
        <w:rPr>
          <w:rFonts w:asciiTheme="minorHAnsi" w:hAnsiTheme="minorHAnsi" w:cstheme="minorHAnsi"/>
          <w:lang w:eastAsia="en-US"/>
        </w:rPr>
        <w:t xml:space="preserve"> nomea</w:t>
      </w:r>
      <w:r w:rsidR="0043103F">
        <w:rPr>
          <w:rFonts w:asciiTheme="minorHAnsi" w:hAnsiTheme="minorHAnsi" w:cstheme="minorHAnsi"/>
          <w:lang w:eastAsia="en-US"/>
        </w:rPr>
        <w:t>da diretora do Colégio Doutoral, agradeço a disponibilidade e desejo-lhe os maiores sucessos.</w:t>
      </w:r>
    </w:p>
    <w:p w:rsidR="001B4E11" w:rsidRDefault="001B4E11"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Temos a forte expectativa </w:t>
      </w:r>
      <w:r w:rsidR="001C29FF">
        <w:rPr>
          <w:rFonts w:asciiTheme="minorHAnsi" w:hAnsiTheme="minorHAnsi" w:cstheme="minorHAnsi"/>
          <w:lang w:eastAsia="en-US"/>
        </w:rPr>
        <w:t xml:space="preserve">de </w:t>
      </w:r>
      <w:r>
        <w:rPr>
          <w:rFonts w:asciiTheme="minorHAnsi" w:hAnsiTheme="minorHAnsi" w:cstheme="minorHAnsi"/>
          <w:lang w:eastAsia="en-US"/>
        </w:rPr>
        <w:t>que o próximo programa operacional regional do Algarve</w:t>
      </w:r>
      <w:r w:rsidR="001C29FF">
        <w:rPr>
          <w:rFonts w:asciiTheme="minorHAnsi" w:hAnsiTheme="minorHAnsi" w:cstheme="minorHAnsi"/>
          <w:lang w:eastAsia="en-US"/>
        </w:rPr>
        <w:t>,</w:t>
      </w:r>
      <w:r>
        <w:rPr>
          <w:rFonts w:asciiTheme="minorHAnsi" w:hAnsiTheme="minorHAnsi" w:cstheme="minorHAnsi"/>
          <w:lang w:eastAsia="en-US"/>
        </w:rPr>
        <w:t xml:space="preserve"> 2021-2027</w:t>
      </w:r>
      <w:r w:rsidR="001C29FF">
        <w:rPr>
          <w:rFonts w:asciiTheme="minorHAnsi" w:hAnsiTheme="minorHAnsi" w:cstheme="minorHAnsi"/>
          <w:lang w:eastAsia="en-US"/>
        </w:rPr>
        <w:t>,</w:t>
      </w:r>
      <w:r w:rsidR="00261C66">
        <w:rPr>
          <w:rFonts w:asciiTheme="minorHAnsi" w:hAnsiTheme="minorHAnsi" w:cstheme="minorHAnsi"/>
          <w:lang w:eastAsia="en-US"/>
        </w:rPr>
        <w:t xml:space="preserve"> possa, contrariamente ao verificado</w:t>
      </w:r>
      <w:r>
        <w:rPr>
          <w:rFonts w:asciiTheme="minorHAnsi" w:hAnsiTheme="minorHAnsi" w:cstheme="minorHAnsi"/>
          <w:lang w:eastAsia="en-US"/>
        </w:rPr>
        <w:t xml:space="preserve"> no que agora termina</w:t>
      </w:r>
      <w:r w:rsidR="001C29FF">
        <w:rPr>
          <w:rFonts w:asciiTheme="minorHAnsi" w:hAnsiTheme="minorHAnsi" w:cstheme="minorHAnsi"/>
          <w:lang w:eastAsia="en-US"/>
        </w:rPr>
        <w:t xml:space="preserve">, financiar bolsas de doutoramento, tal como aconteceu </w:t>
      </w:r>
      <w:r w:rsidR="00261C66">
        <w:rPr>
          <w:rFonts w:asciiTheme="minorHAnsi" w:hAnsiTheme="minorHAnsi" w:cstheme="minorHAnsi"/>
          <w:lang w:eastAsia="en-US"/>
        </w:rPr>
        <w:t>nas regiões d</w:t>
      </w:r>
      <w:r w:rsidR="001C29FF">
        <w:rPr>
          <w:rFonts w:asciiTheme="minorHAnsi" w:hAnsiTheme="minorHAnsi" w:cstheme="minorHAnsi"/>
          <w:lang w:eastAsia="en-US"/>
        </w:rPr>
        <w:t xml:space="preserve">o Alentejo, </w:t>
      </w:r>
      <w:r w:rsidR="00261C66">
        <w:rPr>
          <w:rFonts w:asciiTheme="minorHAnsi" w:hAnsiTheme="minorHAnsi" w:cstheme="minorHAnsi"/>
          <w:lang w:eastAsia="en-US"/>
        </w:rPr>
        <w:t>do Centro e d</w:t>
      </w:r>
      <w:r w:rsidR="001C29FF">
        <w:rPr>
          <w:rFonts w:asciiTheme="minorHAnsi" w:hAnsiTheme="minorHAnsi" w:cstheme="minorHAnsi"/>
          <w:lang w:eastAsia="en-US"/>
        </w:rPr>
        <w:t xml:space="preserve">o Norte. </w:t>
      </w:r>
    </w:p>
    <w:p w:rsidR="0043103F" w:rsidRDefault="001C29FF"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Essa expectativa alarga-se ao financiamento dos Cursos Técnicos Superiores Profissionais, onde o Algarve </w:t>
      </w:r>
      <w:r w:rsidR="00261C66">
        <w:rPr>
          <w:rFonts w:asciiTheme="minorHAnsi" w:hAnsiTheme="minorHAnsi" w:cstheme="minorHAnsi"/>
          <w:lang w:eastAsia="en-US"/>
        </w:rPr>
        <w:t xml:space="preserve">também </w:t>
      </w:r>
      <w:r>
        <w:rPr>
          <w:rFonts w:asciiTheme="minorHAnsi" w:hAnsiTheme="minorHAnsi" w:cstheme="minorHAnsi"/>
          <w:lang w:eastAsia="en-US"/>
        </w:rPr>
        <w:t xml:space="preserve">teve um tratamento diferenciado, para pior, comparativamente com as regiões atrás referidas. </w:t>
      </w:r>
    </w:p>
    <w:p w:rsidR="0043103F" w:rsidRDefault="00205BB6"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A Universidade do Algarve está comprometida em aumentar a oferta destas formações curtas</w:t>
      </w:r>
      <w:r w:rsidR="0043103F">
        <w:rPr>
          <w:rFonts w:asciiTheme="minorHAnsi" w:hAnsiTheme="minorHAnsi" w:cstheme="minorHAnsi"/>
          <w:lang w:eastAsia="en-US"/>
        </w:rPr>
        <w:t>,</w:t>
      </w:r>
      <w:r>
        <w:rPr>
          <w:rFonts w:asciiTheme="minorHAnsi" w:hAnsiTheme="minorHAnsi" w:cstheme="minorHAnsi"/>
          <w:lang w:eastAsia="en-US"/>
        </w:rPr>
        <w:t xml:space="preserve"> já a partir de 2021/22</w:t>
      </w:r>
      <w:r w:rsidR="0043103F">
        <w:rPr>
          <w:rFonts w:asciiTheme="minorHAnsi" w:hAnsiTheme="minorHAnsi" w:cstheme="minorHAnsi"/>
          <w:lang w:eastAsia="en-US"/>
        </w:rPr>
        <w:t>.</w:t>
      </w:r>
    </w:p>
    <w:p w:rsidR="000169AB" w:rsidRDefault="00E37CD3"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Encontram-se em preparação CTeSP</w:t>
      </w:r>
      <w:r w:rsidR="004D4A06">
        <w:rPr>
          <w:rFonts w:asciiTheme="minorHAnsi" w:hAnsiTheme="minorHAnsi" w:cstheme="minorHAnsi"/>
          <w:lang w:eastAsia="en-US"/>
        </w:rPr>
        <w:t xml:space="preserve"> em </w:t>
      </w:r>
      <w:r w:rsidR="004D4A06" w:rsidRPr="004D4A06">
        <w:rPr>
          <w:rFonts w:asciiTheme="minorHAnsi" w:hAnsiTheme="minorHAnsi" w:cstheme="minorHAnsi"/>
          <w:lang w:eastAsia="en-US"/>
        </w:rPr>
        <w:t>Design e Comunicação Social e em Mediação Sócio e Intercultural</w:t>
      </w:r>
      <w:r w:rsidR="00761DBC">
        <w:rPr>
          <w:rFonts w:asciiTheme="minorHAnsi" w:hAnsiTheme="minorHAnsi" w:cstheme="minorHAnsi"/>
          <w:lang w:eastAsia="en-US"/>
        </w:rPr>
        <w:t>,</w:t>
      </w:r>
      <w:r w:rsidR="004D4A06" w:rsidRPr="004D4A06">
        <w:rPr>
          <w:rFonts w:asciiTheme="minorHAnsi" w:hAnsiTheme="minorHAnsi" w:cstheme="minorHAnsi"/>
          <w:lang w:eastAsia="en-US"/>
        </w:rPr>
        <w:t xml:space="preserve"> por parte da Escola Superior de Educação e Comunicação</w:t>
      </w:r>
      <w:r w:rsidR="00761DBC">
        <w:rPr>
          <w:rFonts w:asciiTheme="minorHAnsi" w:hAnsiTheme="minorHAnsi" w:cstheme="minorHAnsi"/>
          <w:lang w:eastAsia="en-US"/>
        </w:rPr>
        <w:t>,</w:t>
      </w:r>
      <w:r w:rsidR="004D4A06" w:rsidRPr="004D4A06">
        <w:rPr>
          <w:rFonts w:asciiTheme="minorHAnsi" w:hAnsiTheme="minorHAnsi" w:cstheme="minorHAnsi"/>
          <w:lang w:eastAsia="en-US"/>
        </w:rPr>
        <w:t xml:space="preserve"> e em Marketing Digital</w:t>
      </w:r>
      <w:r w:rsidR="00761DBC">
        <w:rPr>
          <w:rFonts w:asciiTheme="minorHAnsi" w:hAnsiTheme="minorHAnsi" w:cstheme="minorHAnsi"/>
          <w:lang w:eastAsia="en-US"/>
        </w:rPr>
        <w:t>,</w:t>
      </w:r>
      <w:r w:rsidR="004D4A06" w:rsidRPr="004D4A06">
        <w:rPr>
          <w:rFonts w:asciiTheme="minorHAnsi" w:hAnsiTheme="minorHAnsi" w:cstheme="minorHAnsi"/>
          <w:lang w:eastAsia="en-US"/>
        </w:rPr>
        <w:t xml:space="preserve"> por parte da Escola Superior de Gestão, Hotelari</w:t>
      </w:r>
      <w:r w:rsidR="00761DBC">
        <w:rPr>
          <w:rFonts w:asciiTheme="minorHAnsi" w:hAnsiTheme="minorHAnsi" w:cstheme="minorHAnsi"/>
          <w:lang w:eastAsia="en-US"/>
        </w:rPr>
        <w:t>a e Turismo.</w:t>
      </w:r>
    </w:p>
    <w:p w:rsidR="0043103F" w:rsidRDefault="0043103F" w:rsidP="001D13CF">
      <w:pPr>
        <w:pStyle w:val="NormalWeb"/>
        <w:spacing w:before="120" w:after="120"/>
        <w:jc w:val="both"/>
        <w:rPr>
          <w:rFonts w:asciiTheme="minorHAnsi" w:hAnsiTheme="minorHAnsi" w:cstheme="minorHAnsi"/>
          <w:lang w:eastAsia="en-US"/>
        </w:rPr>
      </w:pPr>
    </w:p>
    <w:p w:rsidR="00761DBC" w:rsidRDefault="004031D7"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Ainda no próximo ano letivo a oferta de cursos de 1.º ciclo passará a integrar, através da Escola Superior de Saúde, a licenciatura em Fisioterapia</w:t>
      </w:r>
      <w:r w:rsidR="007144FA">
        <w:rPr>
          <w:rFonts w:asciiTheme="minorHAnsi" w:hAnsiTheme="minorHAnsi" w:cstheme="minorHAnsi"/>
          <w:lang w:eastAsia="en-US"/>
        </w:rPr>
        <w:t xml:space="preserve">. </w:t>
      </w:r>
      <w:r w:rsidR="00761DBC">
        <w:rPr>
          <w:rFonts w:asciiTheme="minorHAnsi" w:hAnsiTheme="minorHAnsi" w:cstheme="minorHAnsi"/>
          <w:lang w:eastAsia="en-US"/>
        </w:rPr>
        <w:t xml:space="preserve">Será </w:t>
      </w:r>
      <w:r w:rsidR="00CE1DCF">
        <w:rPr>
          <w:rFonts w:asciiTheme="minorHAnsi" w:hAnsiTheme="minorHAnsi" w:cstheme="minorHAnsi"/>
          <w:lang w:eastAsia="en-US"/>
        </w:rPr>
        <w:t xml:space="preserve">ainda </w:t>
      </w:r>
      <w:r w:rsidR="00761DBC">
        <w:rPr>
          <w:rFonts w:asciiTheme="minorHAnsi" w:hAnsiTheme="minorHAnsi" w:cstheme="minorHAnsi"/>
          <w:lang w:eastAsia="en-US"/>
        </w:rPr>
        <w:t>oferecido o primeiro mestrado em Portimão, em Ge</w:t>
      </w:r>
      <w:r w:rsidR="00773EE4">
        <w:rPr>
          <w:rFonts w:asciiTheme="minorHAnsi" w:hAnsiTheme="minorHAnsi" w:cstheme="minorHAnsi"/>
          <w:lang w:eastAsia="en-US"/>
        </w:rPr>
        <w:t>stão de PME, e iniciaremos novos ciclos de</w:t>
      </w:r>
      <w:r w:rsidR="00761DBC">
        <w:rPr>
          <w:rFonts w:asciiTheme="minorHAnsi" w:hAnsiTheme="minorHAnsi" w:cstheme="minorHAnsi"/>
          <w:lang w:eastAsia="en-US"/>
        </w:rPr>
        <w:t xml:space="preserve"> edições de cursos de mestrados Erasmus Mundus, coordenados pela Universidade do Algarve, relativos a candidaturas aprovadas em 2020, em Ecohidrologia Aplicada e em Inovação Química e Regulamentação.</w:t>
      </w:r>
    </w:p>
    <w:p w:rsidR="00CE1DCF" w:rsidRDefault="00CE1DCF" w:rsidP="001D13CF">
      <w:pPr>
        <w:pStyle w:val="NormalWeb"/>
        <w:spacing w:before="120" w:after="120"/>
        <w:jc w:val="both"/>
        <w:rPr>
          <w:rFonts w:asciiTheme="minorHAnsi" w:hAnsiTheme="minorHAnsi" w:cstheme="minorHAnsi"/>
          <w:lang w:eastAsia="en-US"/>
        </w:rPr>
      </w:pPr>
    </w:p>
    <w:p w:rsidR="00FA0EFC" w:rsidRDefault="00FA0EFC"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Ao longo de 2020 continuaram</w:t>
      </w:r>
      <w:r w:rsidRPr="00AC03AF">
        <w:rPr>
          <w:rFonts w:asciiTheme="minorHAnsi" w:hAnsiTheme="minorHAnsi" w:cstheme="minorHAnsi"/>
          <w:lang w:eastAsia="en-US"/>
        </w:rPr>
        <w:t xml:space="preserve"> a ser desenvolvidas iniciativas no plano da partilha e inovação pedagógica junto dos professores</w:t>
      </w:r>
      <w:r>
        <w:rPr>
          <w:rFonts w:asciiTheme="minorHAnsi" w:hAnsiTheme="minorHAnsi" w:cstheme="minorHAnsi"/>
          <w:lang w:eastAsia="en-US"/>
        </w:rPr>
        <w:t xml:space="preserve">, a que será dada continuidade em 2021. O </w:t>
      </w:r>
      <w:r w:rsidR="00287C7A">
        <w:rPr>
          <w:rFonts w:asciiTheme="minorHAnsi" w:hAnsiTheme="minorHAnsi" w:cstheme="minorHAnsi"/>
          <w:lang w:eastAsia="en-US"/>
        </w:rPr>
        <w:t xml:space="preserve">ciclo de encontros deu origem à publicação em livro de 37 experiências, em que participam 42 autores. </w:t>
      </w:r>
    </w:p>
    <w:p w:rsidR="00287C7A" w:rsidRPr="006C0792" w:rsidRDefault="00287C7A" w:rsidP="001D13CF">
      <w:pPr>
        <w:pStyle w:val="NormalWeb"/>
        <w:spacing w:after="120"/>
        <w:jc w:val="both"/>
        <w:rPr>
          <w:rFonts w:asciiTheme="minorHAnsi" w:hAnsiTheme="minorHAnsi" w:cstheme="minorHAnsi"/>
          <w:lang w:eastAsia="en-US"/>
        </w:rPr>
      </w:pPr>
      <w:r w:rsidRPr="006C0792">
        <w:rPr>
          <w:rFonts w:asciiTheme="minorHAnsi" w:hAnsiTheme="minorHAnsi" w:cstheme="minorHAnsi"/>
          <w:lang w:eastAsia="en-US"/>
        </w:rPr>
        <w:t>Foi dada</w:t>
      </w:r>
      <w:r w:rsidR="006C0792" w:rsidRPr="006C0792">
        <w:rPr>
          <w:rFonts w:asciiTheme="minorHAnsi" w:hAnsiTheme="minorHAnsi" w:cstheme="minorHAnsi"/>
          <w:lang w:eastAsia="en-US"/>
        </w:rPr>
        <w:t>, e continuará a ser dada,</w:t>
      </w:r>
      <w:r w:rsidRPr="006C0792">
        <w:rPr>
          <w:rFonts w:asciiTheme="minorHAnsi" w:hAnsiTheme="minorHAnsi" w:cstheme="minorHAnsi"/>
          <w:lang w:eastAsia="en-US"/>
        </w:rPr>
        <w:t xml:space="preserve"> continuidade a políticas ativas para prevenção do abandono e da promoção do sucesso académico. </w:t>
      </w:r>
      <w:r w:rsidR="006C0792" w:rsidRPr="006C0792">
        <w:rPr>
          <w:rFonts w:asciiTheme="minorHAnsi" w:hAnsiTheme="minorHAnsi" w:cstheme="minorHAnsi"/>
          <w:lang w:eastAsia="en-US"/>
        </w:rPr>
        <w:t>D</w:t>
      </w:r>
      <w:r w:rsidRPr="006C0792">
        <w:rPr>
          <w:rFonts w:asciiTheme="minorHAnsi" w:hAnsiTheme="minorHAnsi" w:cstheme="minorHAnsi"/>
          <w:lang w:eastAsia="en-US"/>
        </w:rPr>
        <w:t xml:space="preserve">estaque </w:t>
      </w:r>
      <w:r w:rsidR="006C0792" w:rsidRPr="006C0792">
        <w:rPr>
          <w:rFonts w:asciiTheme="minorHAnsi" w:hAnsiTheme="minorHAnsi" w:cstheme="minorHAnsi"/>
          <w:lang w:eastAsia="en-US"/>
        </w:rPr>
        <w:t xml:space="preserve">para </w:t>
      </w:r>
      <w:r w:rsidRPr="006C0792">
        <w:rPr>
          <w:rFonts w:asciiTheme="minorHAnsi" w:hAnsiTheme="minorHAnsi" w:cstheme="minorHAnsi"/>
          <w:lang w:eastAsia="en-US"/>
        </w:rPr>
        <w:t xml:space="preserve">as várias edições realizadas do curso online “Competências para a Vida”, </w:t>
      </w:r>
      <w:r w:rsidR="009354B7" w:rsidRPr="006C0792">
        <w:rPr>
          <w:rFonts w:asciiTheme="minorHAnsi" w:hAnsiTheme="minorHAnsi" w:cstheme="minorHAnsi"/>
          <w:lang w:eastAsia="en-US"/>
        </w:rPr>
        <w:t xml:space="preserve">no qual </w:t>
      </w:r>
      <w:r w:rsidR="009354B7">
        <w:rPr>
          <w:rFonts w:asciiTheme="minorHAnsi" w:hAnsiTheme="minorHAnsi" w:cstheme="minorHAnsi"/>
          <w:lang w:eastAsia="en-US"/>
        </w:rPr>
        <w:t xml:space="preserve">já </w:t>
      </w:r>
      <w:r w:rsidR="009354B7" w:rsidRPr="006C0792">
        <w:rPr>
          <w:rFonts w:asciiTheme="minorHAnsi" w:hAnsiTheme="minorHAnsi" w:cstheme="minorHAnsi"/>
          <w:lang w:eastAsia="en-US"/>
        </w:rPr>
        <w:t>participaram várias centenas de est</w:t>
      </w:r>
      <w:r w:rsidR="009354B7">
        <w:rPr>
          <w:rFonts w:asciiTheme="minorHAnsi" w:hAnsiTheme="minorHAnsi" w:cstheme="minorHAnsi"/>
          <w:lang w:eastAsia="en-US"/>
        </w:rPr>
        <w:t>udantes, que tem por objetivo</w:t>
      </w:r>
      <w:r w:rsidRPr="006C0792">
        <w:rPr>
          <w:rFonts w:asciiTheme="minorHAnsi" w:hAnsiTheme="minorHAnsi" w:cstheme="minorHAnsi"/>
          <w:lang w:eastAsia="en-US"/>
        </w:rPr>
        <w:t xml:space="preserve"> promover a integração e o sucesso académico, bem como contribuir para o desenvolvimento de competências transversais</w:t>
      </w:r>
      <w:r w:rsidR="006C0792">
        <w:rPr>
          <w:rFonts w:asciiTheme="minorHAnsi" w:hAnsiTheme="minorHAnsi" w:cstheme="minorHAnsi"/>
          <w:lang w:eastAsia="en-US"/>
        </w:rPr>
        <w:t>.</w:t>
      </w:r>
    </w:p>
    <w:p w:rsidR="00287C7A" w:rsidRPr="00FD095F" w:rsidRDefault="00287C7A" w:rsidP="001D13CF">
      <w:pPr>
        <w:spacing w:after="120"/>
        <w:jc w:val="both"/>
        <w:rPr>
          <w:rFonts w:asciiTheme="minorHAnsi" w:hAnsiTheme="minorHAnsi" w:cstheme="minorHAnsi"/>
          <w:lang w:eastAsia="en-US"/>
        </w:rPr>
      </w:pPr>
      <w:r w:rsidRPr="00FD095F">
        <w:rPr>
          <w:rFonts w:asciiTheme="minorHAnsi" w:hAnsiTheme="minorHAnsi" w:cstheme="minorHAnsi"/>
          <w:lang w:eastAsia="en-US"/>
        </w:rPr>
        <w:t>Visando em particular a empregabilidade e a transição para</w:t>
      </w:r>
      <w:r w:rsidR="00FD095F" w:rsidRPr="00FD095F">
        <w:rPr>
          <w:rFonts w:asciiTheme="minorHAnsi" w:hAnsiTheme="minorHAnsi" w:cstheme="minorHAnsi"/>
          <w:lang w:eastAsia="en-US"/>
        </w:rPr>
        <w:t xml:space="preserve"> o mercado de trabalho, teve lugar o</w:t>
      </w:r>
      <w:r w:rsidRPr="00FD095F">
        <w:rPr>
          <w:rFonts w:asciiTheme="minorHAnsi" w:hAnsiTheme="minorHAnsi" w:cstheme="minorHAnsi"/>
          <w:lang w:eastAsia="en-US"/>
        </w:rPr>
        <w:t xml:space="preserve"> “Mês da Empregabilidade” e a Feira de Emprego Online, desenvolvidas pelo Gabinete </w:t>
      </w:r>
      <w:r w:rsidRPr="00FD095F">
        <w:rPr>
          <w:rFonts w:asciiTheme="minorHAnsi" w:hAnsiTheme="minorHAnsi" w:cstheme="minorHAnsi"/>
          <w:i/>
          <w:lang w:eastAsia="en-US"/>
        </w:rPr>
        <w:t>Alumni</w:t>
      </w:r>
      <w:r w:rsidRPr="00FD095F">
        <w:rPr>
          <w:rFonts w:asciiTheme="minorHAnsi" w:hAnsiTheme="minorHAnsi" w:cstheme="minorHAnsi"/>
          <w:lang w:eastAsia="en-US"/>
        </w:rPr>
        <w:t xml:space="preserve"> </w:t>
      </w:r>
      <w:r w:rsidR="00FD095F">
        <w:rPr>
          <w:rFonts w:asciiTheme="minorHAnsi" w:hAnsiTheme="minorHAnsi" w:cstheme="minorHAnsi"/>
          <w:lang w:eastAsia="en-US"/>
        </w:rPr>
        <w:t>e de Saídas Profissionais</w:t>
      </w:r>
      <w:r w:rsidRPr="00FD095F">
        <w:rPr>
          <w:rFonts w:asciiTheme="minorHAnsi" w:hAnsiTheme="minorHAnsi" w:cstheme="minorHAnsi"/>
          <w:lang w:eastAsia="en-US"/>
        </w:rPr>
        <w:t>. </w:t>
      </w:r>
    </w:p>
    <w:p w:rsidR="00CE1DCF" w:rsidRDefault="00CE1DCF"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Relativamente à integração dos diplomados no mercado de trabalho, o</w:t>
      </w:r>
      <w:r w:rsidRPr="00AC03AF">
        <w:rPr>
          <w:rFonts w:asciiTheme="minorHAnsi" w:hAnsiTheme="minorHAnsi" w:cstheme="minorHAnsi"/>
          <w:lang w:eastAsia="en-US"/>
        </w:rPr>
        <w:t xml:space="preserve">s dados disponíveis, quer do inquérito anual que realizamos junto dos recém-diplomados quer do número de desempregados inscritos no IEFP, indicam uma </w:t>
      </w:r>
      <w:r>
        <w:rPr>
          <w:rFonts w:asciiTheme="minorHAnsi" w:hAnsiTheme="minorHAnsi" w:cstheme="minorHAnsi"/>
          <w:lang w:eastAsia="en-US"/>
        </w:rPr>
        <w:t xml:space="preserve">menor facilidade de integração comparativamente com os anos anteriores, consequência </w:t>
      </w:r>
      <w:r w:rsidR="00F87B1F">
        <w:rPr>
          <w:rFonts w:asciiTheme="minorHAnsi" w:hAnsiTheme="minorHAnsi" w:cstheme="minorHAnsi"/>
          <w:lang w:eastAsia="en-US"/>
        </w:rPr>
        <w:t xml:space="preserve">da situação económica decorrente da crise pandémica. </w:t>
      </w:r>
      <w:r w:rsidR="00FA0EFC">
        <w:rPr>
          <w:rFonts w:asciiTheme="minorHAnsi" w:hAnsiTheme="minorHAnsi" w:cstheme="minorHAnsi"/>
          <w:lang w:eastAsia="en-US"/>
        </w:rPr>
        <w:t xml:space="preserve">Deveremos, contudo, assinalar que é a população ativa menos qualificada que está a sofrer um maior impacto da atual crise, o que reforça o papel e a importância da formação superior e do conhecimento. </w:t>
      </w:r>
    </w:p>
    <w:p w:rsidR="00CE1DCF" w:rsidRDefault="00CE1DCF" w:rsidP="001D13CF">
      <w:pPr>
        <w:pStyle w:val="NormalWeb"/>
        <w:spacing w:before="120" w:after="120"/>
        <w:jc w:val="both"/>
        <w:rPr>
          <w:rFonts w:asciiTheme="minorHAnsi" w:hAnsiTheme="minorHAnsi" w:cstheme="minorHAnsi"/>
          <w:lang w:eastAsia="en-US"/>
        </w:rPr>
      </w:pPr>
    </w:p>
    <w:p w:rsidR="00A17A0C" w:rsidRDefault="00A17A0C" w:rsidP="001D13CF">
      <w:pPr>
        <w:spacing w:after="160" w:line="259" w:lineRule="auto"/>
        <w:jc w:val="both"/>
        <w:rPr>
          <w:rFonts w:asciiTheme="minorHAnsi" w:hAnsiTheme="minorHAnsi" w:cstheme="minorHAnsi"/>
          <w:b/>
          <w:lang w:eastAsia="en-US"/>
        </w:rPr>
      </w:pPr>
      <w:r>
        <w:rPr>
          <w:rFonts w:asciiTheme="minorHAnsi" w:hAnsiTheme="minorHAnsi" w:cstheme="minorHAnsi"/>
          <w:b/>
          <w:lang w:eastAsia="en-US"/>
        </w:rPr>
        <w:br w:type="page"/>
      </w:r>
    </w:p>
    <w:p w:rsidR="00773EE4" w:rsidRDefault="00773EE4" w:rsidP="001D13CF">
      <w:pPr>
        <w:pStyle w:val="NormalWeb"/>
        <w:spacing w:before="120" w:after="120"/>
        <w:jc w:val="both"/>
        <w:rPr>
          <w:rFonts w:asciiTheme="minorHAnsi" w:hAnsiTheme="minorHAnsi" w:cstheme="minorHAnsi"/>
          <w:b/>
          <w:lang w:eastAsia="en-US"/>
        </w:rPr>
      </w:pPr>
      <w:r>
        <w:rPr>
          <w:rFonts w:asciiTheme="minorHAnsi" w:hAnsiTheme="minorHAnsi" w:cstheme="minorHAnsi"/>
          <w:b/>
          <w:lang w:eastAsia="en-US"/>
        </w:rPr>
        <w:lastRenderedPageBreak/>
        <w:t xml:space="preserve">2.º </w:t>
      </w:r>
      <w:r w:rsidR="00FD095F" w:rsidRPr="00AC03AF">
        <w:rPr>
          <w:rFonts w:asciiTheme="minorHAnsi" w:hAnsiTheme="minorHAnsi" w:cstheme="minorHAnsi"/>
          <w:b/>
          <w:lang w:eastAsia="en-US"/>
        </w:rPr>
        <w:t xml:space="preserve">Objetivo estratégico </w:t>
      </w:r>
      <w:r>
        <w:rPr>
          <w:rFonts w:asciiTheme="minorHAnsi" w:hAnsiTheme="minorHAnsi" w:cstheme="minorHAnsi"/>
          <w:b/>
          <w:lang w:eastAsia="en-US"/>
        </w:rPr>
        <w:t>(Relativo à Investigação &amp; Transferência)</w:t>
      </w:r>
    </w:p>
    <w:p w:rsidR="00FD095F" w:rsidRPr="00AC03AF" w:rsidRDefault="00773EE4" w:rsidP="001D13CF">
      <w:pPr>
        <w:pStyle w:val="NormalWeb"/>
        <w:spacing w:before="120" w:after="120"/>
        <w:jc w:val="both"/>
        <w:rPr>
          <w:rFonts w:asciiTheme="minorHAnsi" w:hAnsiTheme="minorHAnsi" w:cstheme="minorHAnsi"/>
          <w:b/>
          <w:lang w:eastAsia="en-US"/>
        </w:rPr>
      </w:pPr>
      <w:r>
        <w:rPr>
          <w:rFonts w:asciiTheme="minorHAnsi" w:hAnsiTheme="minorHAnsi" w:cstheme="minorHAnsi"/>
          <w:b/>
          <w:lang w:eastAsia="en-US"/>
        </w:rPr>
        <w:t>A</w:t>
      </w:r>
      <w:r w:rsidR="00FD095F" w:rsidRPr="00AC03AF">
        <w:rPr>
          <w:rFonts w:asciiTheme="minorHAnsi" w:hAnsiTheme="minorHAnsi" w:cstheme="minorHAnsi"/>
          <w:b/>
          <w:lang w:eastAsia="en-US"/>
        </w:rPr>
        <w:t>umentar a produção científica, tecnológica e cultural de qualidade e a sua transferência e valorização para a sociedade</w:t>
      </w:r>
    </w:p>
    <w:p w:rsidR="00FD095F" w:rsidRDefault="00FD095F" w:rsidP="001D13CF">
      <w:pPr>
        <w:pStyle w:val="NormalWeb"/>
        <w:spacing w:before="120" w:after="120"/>
        <w:jc w:val="both"/>
        <w:rPr>
          <w:rFonts w:asciiTheme="minorHAnsi" w:hAnsiTheme="minorHAnsi" w:cstheme="minorHAnsi"/>
          <w:lang w:eastAsia="en-US"/>
        </w:rPr>
      </w:pPr>
    </w:p>
    <w:p w:rsidR="00D36982" w:rsidRDefault="000B2D6A"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O aumento perspetivado há um ano atrás do número de investigadores acabou por não se concretizar</w:t>
      </w:r>
      <w:r w:rsidR="001511F5">
        <w:rPr>
          <w:rFonts w:asciiTheme="minorHAnsi" w:hAnsiTheme="minorHAnsi" w:cstheme="minorHAnsi"/>
          <w:lang w:eastAsia="en-US"/>
        </w:rPr>
        <w:t>, à data,</w:t>
      </w:r>
      <w:r w:rsidR="00C779D2">
        <w:rPr>
          <w:rFonts w:asciiTheme="minorHAnsi" w:hAnsiTheme="minorHAnsi" w:cstheme="minorHAnsi"/>
          <w:lang w:eastAsia="en-US"/>
        </w:rPr>
        <w:t xml:space="preserve"> com a magnitude desejada</w:t>
      </w:r>
      <w:r w:rsidR="001D467A">
        <w:rPr>
          <w:rFonts w:asciiTheme="minorHAnsi" w:hAnsiTheme="minorHAnsi" w:cstheme="minorHAnsi"/>
          <w:lang w:eastAsia="en-US"/>
        </w:rPr>
        <w:t xml:space="preserve">, pois </w:t>
      </w:r>
      <w:r w:rsidR="00C3445B">
        <w:rPr>
          <w:rFonts w:asciiTheme="minorHAnsi" w:hAnsiTheme="minorHAnsi" w:cstheme="minorHAnsi"/>
          <w:lang w:eastAsia="en-US"/>
        </w:rPr>
        <w:t>as</w:t>
      </w:r>
      <w:r w:rsidR="001D467A">
        <w:rPr>
          <w:rFonts w:asciiTheme="minorHAnsi" w:hAnsiTheme="minorHAnsi" w:cstheme="minorHAnsi"/>
          <w:lang w:eastAsia="en-US"/>
        </w:rPr>
        <w:t xml:space="preserve"> 7 novas contratações foram praticamente anuladas pelas 6 saídas</w:t>
      </w:r>
      <w:r w:rsidR="00B90CE7">
        <w:rPr>
          <w:rFonts w:asciiTheme="minorHAnsi" w:hAnsiTheme="minorHAnsi" w:cstheme="minorHAnsi"/>
          <w:lang w:eastAsia="en-US"/>
        </w:rPr>
        <w:t xml:space="preserve"> ocorridas</w:t>
      </w:r>
      <w:r w:rsidR="001D467A">
        <w:rPr>
          <w:rFonts w:asciiTheme="minorHAnsi" w:hAnsiTheme="minorHAnsi" w:cstheme="minorHAnsi"/>
          <w:lang w:eastAsia="en-US"/>
        </w:rPr>
        <w:t xml:space="preserve">. </w:t>
      </w:r>
      <w:r w:rsidR="00A00BBC">
        <w:rPr>
          <w:rFonts w:asciiTheme="minorHAnsi" w:hAnsiTheme="minorHAnsi" w:cstheme="minorHAnsi"/>
          <w:lang w:eastAsia="en-US"/>
        </w:rPr>
        <w:t>Contudo, o</w:t>
      </w:r>
      <w:r w:rsidR="00B90CE7">
        <w:rPr>
          <w:rFonts w:asciiTheme="minorHAnsi" w:hAnsiTheme="minorHAnsi" w:cstheme="minorHAnsi"/>
          <w:lang w:eastAsia="en-US"/>
        </w:rPr>
        <w:t>s vários</w:t>
      </w:r>
      <w:r w:rsidR="00D36982">
        <w:rPr>
          <w:rFonts w:asciiTheme="minorHAnsi" w:hAnsiTheme="minorHAnsi" w:cstheme="minorHAnsi"/>
          <w:lang w:eastAsia="en-US"/>
        </w:rPr>
        <w:t xml:space="preserve"> p</w:t>
      </w:r>
      <w:r w:rsidR="00040E0E">
        <w:rPr>
          <w:rFonts w:asciiTheme="minorHAnsi" w:hAnsiTheme="minorHAnsi" w:cstheme="minorHAnsi"/>
          <w:lang w:eastAsia="en-US"/>
        </w:rPr>
        <w:t>rocedimentos concursais a decorrer</w:t>
      </w:r>
      <w:r w:rsidR="00D36982">
        <w:rPr>
          <w:rFonts w:asciiTheme="minorHAnsi" w:hAnsiTheme="minorHAnsi" w:cstheme="minorHAnsi"/>
          <w:lang w:eastAsia="en-US"/>
        </w:rPr>
        <w:t xml:space="preserve"> permitirão que, muito em breve, se possa atingir 90 contratos com investigadores</w:t>
      </w:r>
      <w:r w:rsidR="001511F5">
        <w:rPr>
          <w:rFonts w:asciiTheme="minorHAnsi" w:hAnsiTheme="minorHAnsi" w:cstheme="minorHAnsi"/>
          <w:lang w:eastAsia="en-US"/>
        </w:rPr>
        <w:t xml:space="preserve">. </w:t>
      </w:r>
    </w:p>
    <w:p w:rsidR="00A00BBC" w:rsidRDefault="001511F5"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D</w:t>
      </w:r>
      <w:r w:rsidR="001D467A">
        <w:rPr>
          <w:rFonts w:asciiTheme="minorHAnsi" w:hAnsiTheme="minorHAnsi" w:cstheme="minorHAnsi"/>
          <w:lang w:eastAsia="en-US"/>
        </w:rPr>
        <w:t>evemos</w:t>
      </w:r>
      <w:r>
        <w:rPr>
          <w:rFonts w:asciiTheme="minorHAnsi" w:hAnsiTheme="minorHAnsi" w:cstheme="minorHAnsi"/>
          <w:lang w:eastAsia="en-US"/>
        </w:rPr>
        <w:t xml:space="preserve"> ainda</w:t>
      </w:r>
      <w:r w:rsidR="001D467A">
        <w:rPr>
          <w:rFonts w:asciiTheme="minorHAnsi" w:hAnsiTheme="minorHAnsi" w:cstheme="minorHAnsi"/>
          <w:lang w:eastAsia="en-US"/>
        </w:rPr>
        <w:t xml:space="preserve"> considerar </w:t>
      </w:r>
      <w:r w:rsidR="00C3445B">
        <w:rPr>
          <w:rFonts w:asciiTheme="minorHAnsi" w:hAnsiTheme="minorHAnsi" w:cstheme="minorHAnsi"/>
          <w:lang w:eastAsia="en-US"/>
        </w:rPr>
        <w:t>a contratação, no âmbito do concurso estímulo ao emprego científico – institucional, de 5 professores auxiliares, 4 dos quais em 2020, com 50% do tempo destinado à investigação</w:t>
      </w:r>
      <w:r w:rsidR="00C779D2">
        <w:rPr>
          <w:rFonts w:asciiTheme="minorHAnsi" w:hAnsiTheme="minorHAnsi" w:cstheme="minorHAnsi"/>
          <w:lang w:eastAsia="en-US"/>
        </w:rPr>
        <w:t xml:space="preserve">. </w:t>
      </w:r>
    </w:p>
    <w:p w:rsidR="001D467A" w:rsidRDefault="00C779D2"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Podemos, pois, afirmar </w:t>
      </w:r>
      <w:r w:rsidR="00A00BBC">
        <w:rPr>
          <w:rFonts w:asciiTheme="minorHAnsi" w:hAnsiTheme="minorHAnsi" w:cstheme="minorHAnsi"/>
          <w:lang w:eastAsia="en-US"/>
        </w:rPr>
        <w:t xml:space="preserve">que </w:t>
      </w:r>
      <w:r w:rsidR="001511F5">
        <w:rPr>
          <w:rFonts w:asciiTheme="minorHAnsi" w:hAnsiTheme="minorHAnsi" w:cstheme="minorHAnsi"/>
          <w:lang w:eastAsia="en-US"/>
        </w:rPr>
        <w:t>continuamos a</w:t>
      </w:r>
      <w:r w:rsidR="002054F8">
        <w:rPr>
          <w:rFonts w:asciiTheme="minorHAnsi" w:hAnsiTheme="minorHAnsi" w:cstheme="minorHAnsi"/>
          <w:lang w:eastAsia="en-US"/>
        </w:rPr>
        <w:t xml:space="preserve"> assistir a um reforço da capacidade de investigação</w:t>
      </w:r>
      <w:r w:rsidR="00A00BBC">
        <w:rPr>
          <w:rFonts w:asciiTheme="minorHAnsi" w:hAnsiTheme="minorHAnsi" w:cstheme="minorHAnsi"/>
          <w:lang w:eastAsia="en-US"/>
        </w:rPr>
        <w:t>, sendo o</w:t>
      </w:r>
      <w:r w:rsidR="002054F8">
        <w:rPr>
          <w:rFonts w:asciiTheme="minorHAnsi" w:hAnsiTheme="minorHAnsi" w:cstheme="minorHAnsi"/>
          <w:lang w:eastAsia="en-US"/>
        </w:rPr>
        <w:t>portuno referir que no final de 2017 a instituição tinha contrato com 12 investigadores</w:t>
      </w:r>
      <w:r w:rsidR="00A00BBC">
        <w:rPr>
          <w:rFonts w:asciiTheme="minorHAnsi" w:hAnsiTheme="minorHAnsi" w:cstheme="minorHAnsi"/>
          <w:lang w:eastAsia="en-US"/>
        </w:rPr>
        <w:t xml:space="preserve"> e que em 2018 e 2019 foram contratados 41 investigadores ao abrigo da norma transitória. </w:t>
      </w:r>
    </w:p>
    <w:p w:rsidR="001D467A" w:rsidRDefault="00355FB7"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Temos também vindo a assistir a um aumento do número de investigadores com serviço docente, o que permite aos nossos estudantes de formação inicial um contacto de muita proximidade com a atividade científica</w:t>
      </w:r>
      <w:r w:rsidR="00B90CE7">
        <w:rPr>
          <w:rFonts w:asciiTheme="minorHAnsi" w:hAnsiTheme="minorHAnsi" w:cstheme="minorHAnsi"/>
          <w:lang w:eastAsia="en-US"/>
        </w:rPr>
        <w:t>.</w:t>
      </w:r>
    </w:p>
    <w:p w:rsidR="00C3445B" w:rsidRDefault="00C3445B" w:rsidP="001D13CF">
      <w:pPr>
        <w:pStyle w:val="NormalWeb"/>
        <w:spacing w:before="120" w:after="120"/>
        <w:jc w:val="both"/>
        <w:rPr>
          <w:rFonts w:asciiTheme="minorHAnsi" w:hAnsiTheme="minorHAnsi" w:cstheme="minorHAnsi"/>
          <w:lang w:eastAsia="en-US"/>
        </w:rPr>
      </w:pPr>
    </w:p>
    <w:p w:rsidR="00983521" w:rsidRPr="00EA5D58" w:rsidRDefault="00983521"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Com o intuito de uma atribuição mais adequada dos espaços de investigação</w:t>
      </w:r>
      <w:r w:rsidR="00040E0E">
        <w:rPr>
          <w:rFonts w:asciiTheme="minorHAnsi" w:hAnsiTheme="minorHAnsi" w:cstheme="minorHAnsi"/>
          <w:lang w:eastAsia="en-US"/>
        </w:rPr>
        <w:t>,</w:t>
      </w:r>
      <w:r>
        <w:rPr>
          <w:rFonts w:asciiTheme="minorHAnsi" w:hAnsiTheme="minorHAnsi" w:cstheme="minorHAnsi"/>
          <w:lang w:eastAsia="en-US"/>
        </w:rPr>
        <w:t xml:space="preserve"> que potencie </w:t>
      </w:r>
      <w:r w:rsidR="00EA5D58">
        <w:rPr>
          <w:rFonts w:asciiTheme="minorHAnsi" w:hAnsiTheme="minorHAnsi" w:cstheme="minorHAnsi"/>
          <w:lang w:eastAsia="en-US"/>
        </w:rPr>
        <w:t xml:space="preserve">o aumento dos </w:t>
      </w:r>
      <w:r>
        <w:rPr>
          <w:rFonts w:asciiTheme="minorHAnsi" w:hAnsiTheme="minorHAnsi" w:cstheme="minorHAnsi"/>
          <w:lang w:eastAsia="en-US"/>
        </w:rPr>
        <w:t xml:space="preserve">níveis de produtividade, </w:t>
      </w:r>
      <w:r w:rsidR="00EA5D58">
        <w:rPr>
          <w:rFonts w:asciiTheme="minorHAnsi" w:hAnsiTheme="minorHAnsi" w:cstheme="minorHAnsi"/>
          <w:lang w:eastAsia="en-US"/>
        </w:rPr>
        <w:t xml:space="preserve">procedeu-se </w:t>
      </w:r>
      <w:r w:rsidRPr="00EA5D58">
        <w:rPr>
          <w:rFonts w:asciiTheme="minorHAnsi" w:hAnsiTheme="minorHAnsi" w:cstheme="minorHAnsi"/>
          <w:lang w:eastAsia="en-US"/>
        </w:rPr>
        <w:t>a uma avaliação inte</w:t>
      </w:r>
      <w:r w:rsidR="00EA5D58" w:rsidRPr="00EA5D58">
        <w:rPr>
          <w:rFonts w:asciiTheme="minorHAnsi" w:hAnsiTheme="minorHAnsi" w:cstheme="minorHAnsi"/>
          <w:lang w:eastAsia="en-US"/>
        </w:rPr>
        <w:t>rna da produção científica dos centros de investigação e unidades de gestão da UAlg</w:t>
      </w:r>
      <w:r w:rsidR="00040E0E">
        <w:rPr>
          <w:rFonts w:asciiTheme="minorHAnsi" w:hAnsiTheme="minorHAnsi" w:cstheme="minorHAnsi"/>
          <w:lang w:eastAsia="en-US"/>
        </w:rPr>
        <w:t>;</w:t>
      </w:r>
      <w:r w:rsidR="008B0A43">
        <w:rPr>
          <w:rFonts w:asciiTheme="minorHAnsi" w:hAnsiTheme="minorHAnsi" w:cstheme="minorHAnsi"/>
          <w:lang w:eastAsia="en-US"/>
        </w:rPr>
        <w:t xml:space="preserve"> e está em curso um trabalho para incentivar a transformação dos centros de estudos e desenvolvimento em centros de investigação ou em unidades d</w:t>
      </w:r>
      <w:r w:rsidR="00417FB7">
        <w:rPr>
          <w:rFonts w:asciiTheme="minorHAnsi" w:hAnsiTheme="minorHAnsi" w:cstheme="minorHAnsi"/>
          <w:lang w:eastAsia="en-US"/>
        </w:rPr>
        <w:t>e gestão para submissão à</w:t>
      </w:r>
      <w:r w:rsidR="007053F4">
        <w:rPr>
          <w:rFonts w:asciiTheme="minorHAnsi" w:hAnsiTheme="minorHAnsi" w:cstheme="minorHAnsi"/>
          <w:lang w:eastAsia="en-US"/>
        </w:rPr>
        <w:t xml:space="preserve"> próxima avaliação </w:t>
      </w:r>
      <w:r w:rsidR="00543B7E">
        <w:rPr>
          <w:rFonts w:asciiTheme="minorHAnsi" w:hAnsiTheme="minorHAnsi" w:cstheme="minorHAnsi"/>
          <w:lang w:eastAsia="en-US"/>
        </w:rPr>
        <w:t xml:space="preserve">às unidades de investigação por parte </w:t>
      </w:r>
      <w:r w:rsidR="007053F4">
        <w:rPr>
          <w:rFonts w:asciiTheme="minorHAnsi" w:hAnsiTheme="minorHAnsi" w:cstheme="minorHAnsi"/>
          <w:lang w:eastAsia="en-US"/>
        </w:rPr>
        <w:t>da Fundação para a Ciência e Tecnologia.</w:t>
      </w:r>
    </w:p>
    <w:p w:rsidR="00543B7E" w:rsidRDefault="00543B7E" w:rsidP="001D13CF">
      <w:pPr>
        <w:pStyle w:val="NormalWeb"/>
        <w:spacing w:before="120" w:after="120"/>
        <w:jc w:val="both"/>
        <w:rPr>
          <w:rFonts w:asciiTheme="minorHAnsi" w:hAnsiTheme="minorHAnsi" w:cstheme="minorHAnsi"/>
          <w:lang w:eastAsia="en-US"/>
        </w:rPr>
      </w:pPr>
    </w:p>
    <w:p w:rsidR="000E3F05" w:rsidRDefault="00F0208E" w:rsidP="001D13CF">
      <w:pPr>
        <w:pStyle w:val="NormalWeb"/>
        <w:spacing w:before="120" w:after="120"/>
        <w:jc w:val="both"/>
        <w:rPr>
          <w:rFonts w:asciiTheme="minorHAnsi" w:hAnsiTheme="minorHAnsi" w:cstheme="minorHAnsi"/>
          <w:lang w:eastAsia="en-US"/>
        </w:rPr>
      </w:pPr>
      <w:r w:rsidRPr="00AC03AF">
        <w:rPr>
          <w:rFonts w:asciiTheme="minorHAnsi" w:hAnsiTheme="minorHAnsi" w:cstheme="minorHAnsi"/>
          <w:lang w:eastAsia="en-US"/>
        </w:rPr>
        <w:t xml:space="preserve">No </w:t>
      </w:r>
      <w:r w:rsidR="00277F18">
        <w:rPr>
          <w:rFonts w:asciiTheme="minorHAnsi" w:hAnsiTheme="minorHAnsi" w:cstheme="minorHAnsi"/>
          <w:lang w:eastAsia="en-US"/>
        </w:rPr>
        <w:t xml:space="preserve">final do mês </w:t>
      </w:r>
      <w:r w:rsidR="00192B40">
        <w:rPr>
          <w:rFonts w:asciiTheme="minorHAnsi" w:hAnsiTheme="minorHAnsi" w:cstheme="minorHAnsi"/>
          <w:lang w:eastAsia="en-US"/>
        </w:rPr>
        <w:t xml:space="preserve">de </w:t>
      </w:r>
      <w:r w:rsidR="00277F18">
        <w:rPr>
          <w:rFonts w:asciiTheme="minorHAnsi" w:hAnsiTheme="minorHAnsi" w:cstheme="minorHAnsi"/>
          <w:lang w:eastAsia="en-US"/>
        </w:rPr>
        <w:t>novembro,</w:t>
      </w:r>
      <w:r w:rsidR="000E3F05">
        <w:rPr>
          <w:rFonts w:asciiTheme="minorHAnsi" w:hAnsiTheme="minorHAnsi" w:cstheme="minorHAnsi"/>
          <w:lang w:eastAsia="en-US"/>
        </w:rPr>
        <w:t xml:space="preserve"> há menos de um mês,</w:t>
      </w:r>
      <w:r w:rsidR="00277F18">
        <w:rPr>
          <w:rFonts w:asciiTheme="minorHAnsi" w:hAnsiTheme="minorHAnsi" w:cstheme="minorHAnsi"/>
          <w:lang w:eastAsia="en-US"/>
        </w:rPr>
        <w:t xml:space="preserve"> foram iniciadas </w:t>
      </w:r>
      <w:r w:rsidR="00BF67A2">
        <w:rPr>
          <w:rFonts w:asciiTheme="minorHAnsi" w:hAnsiTheme="minorHAnsi" w:cstheme="minorHAnsi"/>
          <w:lang w:eastAsia="en-US"/>
        </w:rPr>
        <w:t>as obras de transformação d</w:t>
      </w:r>
      <w:r w:rsidR="000E3F05">
        <w:rPr>
          <w:rFonts w:asciiTheme="minorHAnsi" w:hAnsiTheme="minorHAnsi" w:cstheme="minorHAnsi"/>
          <w:lang w:eastAsia="en-US"/>
        </w:rPr>
        <w:t xml:space="preserve">o </w:t>
      </w:r>
      <w:r w:rsidR="00BF67A2">
        <w:rPr>
          <w:rFonts w:asciiTheme="minorHAnsi" w:hAnsiTheme="minorHAnsi" w:cstheme="minorHAnsi"/>
          <w:lang w:eastAsia="en-US"/>
        </w:rPr>
        <w:t xml:space="preserve">complexo pedagógico do </w:t>
      </w:r>
      <w:r w:rsidR="00B23F18">
        <w:rPr>
          <w:rFonts w:asciiTheme="minorHAnsi" w:hAnsiTheme="minorHAnsi" w:cstheme="minorHAnsi"/>
          <w:lang w:eastAsia="en-US"/>
        </w:rPr>
        <w:t>C</w:t>
      </w:r>
      <w:r w:rsidR="000E3F05">
        <w:rPr>
          <w:rFonts w:asciiTheme="minorHAnsi" w:hAnsiTheme="minorHAnsi" w:cstheme="minorHAnsi"/>
          <w:lang w:eastAsia="en-US"/>
        </w:rPr>
        <w:t xml:space="preserve">ampus da Penha </w:t>
      </w:r>
      <w:r w:rsidR="00BF67A2">
        <w:rPr>
          <w:rFonts w:asciiTheme="minorHAnsi" w:hAnsiTheme="minorHAnsi" w:cstheme="minorHAnsi"/>
          <w:lang w:eastAsia="en-US"/>
        </w:rPr>
        <w:t>no</w:t>
      </w:r>
      <w:r w:rsidR="00277F18">
        <w:rPr>
          <w:rFonts w:asciiTheme="minorHAnsi" w:hAnsiTheme="minorHAnsi" w:cstheme="minorHAnsi"/>
          <w:lang w:eastAsia="en-US"/>
        </w:rPr>
        <w:t xml:space="preserve"> UAlg TEC CAMPUS</w:t>
      </w:r>
      <w:r w:rsidR="000E3F05">
        <w:rPr>
          <w:rFonts w:asciiTheme="minorHAnsi" w:hAnsiTheme="minorHAnsi" w:cstheme="minorHAnsi"/>
          <w:lang w:eastAsia="en-US"/>
        </w:rPr>
        <w:t>. Até ao final de 2021 teremos concluída uma infraestrutura com 4.500 m2 destinada a</w:t>
      </w:r>
      <w:r w:rsidRPr="00AC03AF">
        <w:rPr>
          <w:rFonts w:asciiTheme="minorHAnsi" w:hAnsiTheme="minorHAnsi" w:cstheme="minorHAnsi"/>
          <w:lang w:eastAsia="en-US"/>
        </w:rPr>
        <w:t xml:space="preserve"> empresas na área das TICE que irão interagir com a investigação e o ensino da UAlg. </w:t>
      </w:r>
      <w:r w:rsidR="00BF67A2">
        <w:rPr>
          <w:rFonts w:asciiTheme="minorHAnsi" w:hAnsiTheme="minorHAnsi" w:cstheme="minorHAnsi"/>
          <w:lang w:eastAsia="en-US"/>
        </w:rPr>
        <w:t>Em fase mais adiantada encontram-se as obras do UAlg TEC HEALTH, no último piso da ala norte do e</w:t>
      </w:r>
      <w:r w:rsidR="00B23F18">
        <w:rPr>
          <w:rFonts w:asciiTheme="minorHAnsi" w:hAnsiTheme="minorHAnsi" w:cstheme="minorHAnsi"/>
          <w:lang w:eastAsia="en-US"/>
        </w:rPr>
        <w:t>difício 2 do C</w:t>
      </w:r>
      <w:r w:rsidR="00417FB7">
        <w:rPr>
          <w:rFonts w:asciiTheme="minorHAnsi" w:hAnsiTheme="minorHAnsi" w:cstheme="minorHAnsi"/>
          <w:lang w:eastAsia="en-US"/>
        </w:rPr>
        <w:t>ampus de Gambelas, uma infraestrutura vocacionada para a simulação clínica.</w:t>
      </w:r>
    </w:p>
    <w:p w:rsidR="00585CE1" w:rsidRDefault="00585CE1"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Estas 2 intervenções constituem a operação Pólo Tecnológico do Algarve, financiado pelo Programa Operacional Regional. O valor da operação ascende a 6,6 milhões de euros, com uma taxa de cofinanciamento de 70%.</w:t>
      </w:r>
      <w:r w:rsidR="005E786C">
        <w:rPr>
          <w:rFonts w:asciiTheme="minorHAnsi" w:hAnsiTheme="minorHAnsi" w:cstheme="minorHAnsi"/>
          <w:lang w:eastAsia="en-US"/>
        </w:rPr>
        <w:t xml:space="preserve"> A despesa já submetida corresponde a uma taxa de execução de 38%.</w:t>
      </w:r>
    </w:p>
    <w:p w:rsidR="00192B40" w:rsidRDefault="00167C03"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Informar, ainda, que a</w:t>
      </w:r>
      <w:r w:rsidR="001D722A">
        <w:rPr>
          <w:rFonts w:asciiTheme="minorHAnsi" w:hAnsiTheme="minorHAnsi" w:cstheme="minorHAnsi"/>
          <w:lang w:eastAsia="en-US"/>
        </w:rPr>
        <w:t xml:space="preserve">guardamos </w:t>
      </w:r>
      <w:r w:rsidR="00F11E47">
        <w:rPr>
          <w:rFonts w:asciiTheme="minorHAnsi" w:hAnsiTheme="minorHAnsi" w:cstheme="minorHAnsi"/>
          <w:lang w:eastAsia="en-US"/>
        </w:rPr>
        <w:t>o resultado da</w:t>
      </w:r>
      <w:r w:rsidR="001D722A">
        <w:rPr>
          <w:rFonts w:asciiTheme="minorHAnsi" w:hAnsiTheme="minorHAnsi" w:cstheme="minorHAnsi"/>
          <w:lang w:eastAsia="en-US"/>
        </w:rPr>
        <w:t xml:space="preserve"> candidatura de projeto </w:t>
      </w:r>
      <w:r w:rsidR="00F11E47">
        <w:rPr>
          <w:rFonts w:asciiTheme="minorHAnsi" w:hAnsiTheme="minorHAnsi" w:cstheme="minorHAnsi"/>
          <w:lang w:eastAsia="en-US"/>
        </w:rPr>
        <w:t>para a incubadora de empresas, e sua envolvente, no Campus de Gambelas. Em caso de aprovação, será executado em 2021.</w:t>
      </w:r>
    </w:p>
    <w:p w:rsidR="00417FB7" w:rsidRDefault="00167C03"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De referir, também</w:t>
      </w:r>
      <w:r w:rsidR="00417FB7">
        <w:rPr>
          <w:rFonts w:asciiTheme="minorHAnsi" w:hAnsiTheme="minorHAnsi" w:cstheme="minorHAnsi"/>
          <w:lang w:eastAsia="en-US"/>
        </w:rPr>
        <w:t>, a intervenção em curso, por parte do Centro de Ciências do Mar,</w:t>
      </w:r>
      <w:r w:rsidR="00192B40" w:rsidRPr="00192B40">
        <w:rPr>
          <w:rFonts w:asciiTheme="minorHAnsi" w:hAnsiTheme="minorHAnsi" w:cstheme="minorHAnsi"/>
          <w:lang w:eastAsia="en-US"/>
        </w:rPr>
        <w:t xml:space="preserve"> </w:t>
      </w:r>
      <w:r w:rsidR="00192B40">
        <w:rPr>
          <w:rFonts w:asciiTheme="minorHAnsi" w:hAnsiTheme="minorHAnsi" w:cstheme="minorHAnsi"/>
          <w:lang w:eastAsia="en-US"/>
        </w:rPr>
        <w:t>no âmbito das infraestruturas europeias científicas para a biologia marinha,</w:t>
      </w:r>
      <w:r w:rsidR="00417FB7">
        <w:rPr>
          <w:rFonts w:asciiTheme="minorHAnsi" w:hAnsiTheme="minorHAnsi" w:cstheme="minorHAnsi"/>
          <w:lang w:eastAsia="en-US"/>
        </w:rPr>
        <w:t xml:space="preserve"> no Laboratório Exp</w:t>
      </w:r>
      <w:r w:rsidR="00FE4E09">
        <w:rPr>
          <w:rFonts w:asciiTheme="minorHAnsi" w:hAnsiTheme="minorHAnsi" w:cstheme="minorHAnsi"/>
          <w:lang w:eastAsia="en-US"/>
        </w:rPr>
        <w:t xml:space="preserve">erimental de Organismos Aquáticos, </w:t>
      </w:r>
      <w:r w:rsidR="00B23F18">
        <w:rPr>
          <w:rFonts w:asciiTheme="minorHAnsi" w:hAnsiTheme="minorHAnsi" w:cstheme="minorHAnsi"/>
          <w:lang w:eastAsia="en-US"/>
        </w:rPr>
        <w:t>no C</w:t>
      </w:r>
      <w:r w:rsidR="00192B40">
        <w:rPr>
          <w:rFonts w:asciiTheme="minorHAnsi" w:hAnsiTheme="minorHAnsi" w:cstheme="minorHAnsi"/>
          <w:lang w:eastAsia="en-US"/>
        </w:rPr>
        <w:t>ampus de Gambelas</w:t>
      </w:r>
      <w:r w:rsidR="00B76D6D">
        <w:rPr>
          <w:rFonts w:asciiTheme="minorHAnsi" w:hAnsiTheme="minorHAnsi" w:cstheme="minorHAnsi"/>
          <w:lang w:eastAsia="en-US"/>
        </w:rPr>
        <w:t>.</w:t>
      </w:r>
      <w:r w:rsidR="00CB0948">
        <w:rPr>
          <w:rFonts w:asciiTheme="minorHAnsi" w:hAnsiTheme="minorHAnsi" w:cstheme="minorHAnsi"/>
          <w:lang w:eastAsia="en-US"/>
        </w:rPr>
        <w:t xml:space="preserve"> </w:t>
      </w:r>
    </w:p>
    <w:p w:rsidR="00417FB7" w:rsidRDefault="00192B40"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lastRenderedPageBreak/>
        <w:t>Todos e</w:t>
      </w:r>
      <w:r w:rsidR="00CB0948" w:rsidRPr="00CB0948">
        <w:rPr>
          <w:rFonts w:asciiTheme="minorHAnsi" w:hAnsiTheme="minorHAnsi" w:cstheme="minorHAnsi"/>
          <w:lang w:eastAsia="en-US"/>
        </w:rPr>
        <w:t>stes investimentos</w:t>
      </w:r>
      <w:r w:rsidR="00CB0948">
        <w:rPr>
          <w:rFonts w:asciiTheme="minorHAnsi" w:hAnsiTheme="minorHAnsi" w:cstheme="minorHAnsi"/>
          <w:lang w:eastAsia="en-US"/>
        </w:rPr>
        <w:t xml:space="preserve"> darão um forte </w:t>
      </w:r>
      <w:r w:rsidR="006569D9">
        <w:rPr>
          <w:rFonts w:asciiTheme="minorHAnsi" w:hAnsiTheme="minorHAnsi" w:cstheme="minorHAnsi"/>
          <w:lang w:eastAsia="en-US"/>
        </w:rPr>
        <w:t xml:space="preserve">contributo </w:t>
      </w:r>
      <w:r w:rsidR="00CB0948">
        <w:rPr>
          <w:rFonts w:asciiTheme="minorHAnsi" w:hAnsiTheme="minorHAnsi" w:cstheme="minorHAnsi"/>
          <w:lang w:eastAsia="en-US"/>
        </w:rPr>
        <w:t>para a crescente afirmação da Universidade do Algarve</w:t>
      </w:r>
      <w:r w:rsidR="006569D9">
        <w:rPr>
          <w:rFonts w:asciiTheme="minorHAnsi" w:hAnsiTheme="minorHAnsi" w:cstheme="minorHAnsi"/>
          <w:lang w:eastAsia="en-US"/>
        </w:rPr>
        <w:t>, permitindo aumentar a n</w:t>
      </w:r>
      <w:r>
        <w:rPr>
          <w:rFonts w:asciiTheme="minorHAnsi" w:hAnsiTheme="minorHAnsi" w:cstheme="minorHAnsi"/>
          <w:lang w:eastAsia="en-US"/>
        </w:rPr>
        <w:t xml:space="preserve">ossa cadeia de valor na área </w:t>
      </w:r>
      <w:r w:rsidR="00B23F18">
        <w:rPr>
          <w:rFonts w:asciiTheme="minorHAnsi" w:hAnsiTheme="minorHAnsi" w:cstheme="minorHAnsi"/>
          <w:lang w:eastAsia="en-US"/>
        </w:rPr>
        <w:t>da Investigação &amp; Transferência, em 2021 e anos seguintes.</w:t>
      </w:r>
    </w:p>
    <w:p w:rsidR="006569D9" w:rsidRDefault="006569D9" w:rsidP="001D13CF">
      <w:pPr>
        <w:pStyle w:val="NormalWeb"/>
        <w:spacing w:before="120" w:after="120"/>
        <w:jc w:val="both"/>
        <w:rPr>
          <w:rFonts w:asciiTheme="minorHAnsi" w:hAnsiTheme="minorHAnsi" w:cstheme="minorHAnsi"/>
          <w:lang w:eastAsia="en-US"/>
        </w:rPr>
      </w:pPr>
    </w:p>
    <w:p w:rsidR="00FD095F" w:rsidRDefault="00192B40"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Em 2020, v</w:t>
      </w:r>
      <w:r w:rsidR="00040E0E">
        <w:rPr>
          <w:rFonts w:asciiTheme="minorHAnsi" w:hAnsiTheme="minorHAnsi" w:cstheme="minorHAnsi"/>
          <w:lang w:eastAsia="en-US"/>
        </w:rPr>
        <w:t>oltá</w:t>
      </w:r>
      <w:r w:rsidR="0003237F">
        <w:rPr>
          <w:rFonts w:asciiTheme="minorHAnsi" w:hAnsiTheme="minorHAnsi" w:cstheme="minorHAnsi"/>
          <w:lang w:eastAsia="en-US"/>
        </w:rPr>
        <w:t xml:space="preserve">mos a ter o reconhecimento para </w:t>
      </w:r>
      <w:r w:rsidR="00FD095F" w:rsidRPr="00AC03AF">
        <w:rPr>
          <w:rFonts w:asciiTheme="minorHAnsi" w:hAnsiTheme="minorHAnsi" w:cstheme="minorHAnsi"/>
          <w:lang w:eastAsia="en-US"/>
        </w:rPr>
        <w:t>algumas áreas científicas por parte de rankings internacionais, nomeadamente, as Ciências da Vida, as Ciências da Saúde</w:t>
      </w:r>
      <w:r w:rsidR="0003237F">
        <w:rPr>
          <w:rFonts w:asciiTheme="minorHAnsi" w:hAnsiTheme="minorHAnsi" w:cstheme="minorHAnsi"/>
          <w:lang w:eastAsia="en-US"/>
        </w:rPr>
        <w:t xml:space="preserve">, a </w:t>
      </w:r>
      <w:r w:rsidR="0003237F" w:rsidRPr="00AC03AF">
        <w:rPr>
          <w:rFonts w:asciiTheme="minorHAnsi" w:hAnsiTheme="minorHAnsi" w:cstheme="minorHAnsi"/>
          <w:lang w:eastAsia="en-US"/>
        </w:rPr>
        <w:t>Economia e Gestão</w:t>
      </w:r>
      <w:r w:rsidR="0003237F">
        <w:rPr>
          <w:rFonts w:asciiTheme="minorHAnsi" w:hAnsiTheme="minorHAnsi" w:cstheme="minorHAnsi"/>
          <w:lang w:eastAsia="en-US"/>
        </w:rPr>
        <w:t>, as Ciências Sociais e as Ciências Físicas</w:t>
      </w:r>
      <w:r w:rsidR="00FD095F" w:rsidRPr="00AC03AF">
        <w:rPr>
          <w:rFonts w:asciiTheme="minorHAnsi" w:hAnsiTheme="minorHAnsi" w:cstheme="minorHAnsi"/>
          <w:lang w:eastAsia="en-US"/>
        </w:rPr>
        <w:t xml:space="preserve"> no </w:t>
      </w:r>
      <w:r w:rsidR="00FD095F" w:rsidRPr="00AC03AF">
        <w:rPr>
          <w:rFonts w:asciiTheme="minorHAnsi" w:hAnsiTheme="minorHAnsi" w:cstheme="minorHAnsi"/>
          <w:i/>
          <w:lang w:eastAsia="en-US"/>
        </w:rPr>
        <w:t>ranking</w:t>
      </w:r>
      <w:r w:rsidR="0003237F">
        <w:rPr>
          <w:rFonts w:asciiTheme="minorHAnsi" w:hAnsiTheme="minorHAnsi" w:cstheme="minorHAnsi"/>
          <w:lang w:eastAsia="en-US"/>
        </w:rPr>
        <w:t xml:space="preserve"> da</w:t>
      </w:r>
      <w:r w:rsidR="00FD095F" w:rsidRPr="00AC03AF">
        <w:rPr>
          <w:rFonts w:asciiTheme="minorHAnsi" w:hAnsiTheme="minorHAnsi" w:cstheme="minorHAnsi"/>
          <w:lang w:eastAsia="en-US"/>
        </w:rPr>
        <w:t xml:space="preserve"> Times Higher Education</w:t>
      </w:r>
      <w:r w:rsidR="00040E0E">
        <w:rPr>
          <w:rFonts w:asciiTheme="minorHAnsi" w:hAnsiTheme="minorHAnsi" w:cstheme="minorHAnsi"/>
          <w:lang w:eastAsia="en-US"/>
        </w:rPr>
        <w:t>;</w:t>
      </w:r>
      <w:r w:rsidR="00FD095F" w:rsidRPr="00AC03AF">
        <w:rPr>
          <w:rFonts w:asciiTheme="minorHAnsi" w:hAnsiTheme="minorHAnsi" w:cstheme="minorHAnsi"/>
          <w:lang w:eastAsia="en-US"/>
        </w:rPr>
        <w:t xml:space="preserve"> e a</w:t>
      </w:r>
      <w:r w:rsidR="00D562C8">
        <w:rPr>
          <w:rFonts w:asciiTheme="minorHAnsi" w:hAnsiTheme="minorHAnsi" w:cstheme="minorHAnsi"/>
          <w:lang w:eastAsia="en-US"/>
        </w:rPr>
        <w:t>s</w:t>
      </w:r>
      <w:r w:rsidR="00FD095F" w:rsidRPr="00AC03AF">
        <w:rPr>
          <w:rFonts w:asciiTheme="minorHAnsi" w:hAnsiTheme="minorHAnsi" w:cstheme="minorHAnsi"/>
          <w:lang w:eastAsia="en-US"/>
        </w:rPr>
        <w:t xml:space="preserve"> áreas do Turismo</w:t>
      </w:r>
      <w:r w:rsidR="0003237F">
        <w:rPr>
          <w:rFonts w:asciiTheme="minorHAnsi" w:hAnsiTheme="minorHAnsi" w:cstheme="minorHAnsi"/>
          <w:lang w:eastAsia="en-US"/>
        </w:rPr>
        <w:t>,</w:t>
      </w:r>
      <w:r w:rsidR="00FD095F" w:rsidRPr="00AC03AF">
        <w:rPr>
          <w:rFonts w:asciiTheme="minorHAnsi" w:hAnsiTheme="minorHAnsi" w:cstheme="minorHAnsi"/>
          <w:lang w:eastAsia="en-US"/>
        </w:rPr>
        <w:t xml:space="preserve"> Oceanografia e Ecologia</w:t>
      </w:r>
      <w:r w:rsidR="0003237F">
        <w:rPr>
          <w:rFonts w:asciiTheme="minorHAnsi" w:hAnsiTheme="minorHAnsi" w:cstheme="minorHAnsi"/>
          <w:lang w:eastAsia="en-US"/>
        </w:rPr>
        <w:t xml:space="preserve">, Ciências Agrárias e Ciências Farmacêuticas </w:t>
      </w:r>
      <w:r w:rsidR="00FD095F" w:rsidRPr="00AC03AF">
        <w:rPr>
          <w:rFonts w:asciiTheme="minorHAnsi" w:hAnsiTheme="minorHAnsi" w:cstheme="minorHAnsi"/>
          <w:lang w:eastAsia="en-US"/>
        </w:rPr>
        <w:t xml:space="preserve">no ranking de Shangai. </w:t>
      </w:r>
    </w:p>
    <w:p w:rsidR="00FD095F" w:rsidRPr="00AC03AF" w:rsidRDefault="00FD095F" w:rsidP="001D13CF">
      <w:pPr>
        <w:pStyle w:val="NormalWeb"/>
        <w:spacing w:before="120" w:after="120"/>
        <w:jc w:val="both"/>
        <w:rPr>
          <w:rFonts w:asciiTheme="minorHAnsi" w:hAnsiTheme="minorHAnsi" w:cstheme="minorHAnsi"/>
          <w:lang w:eastAsia="en-US"/>
        </w:rPr>
      </w:pPr>
    </w:p>
    <w:p w:rsidR="00543B7E" w:rsidRDefault="00543B7E"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Contrariamente às nossas expectativas, não tivemos sucesso na candidatura da Aliança “Horizonte de Sustentabilidade”, constituída </w:t>
      </w:r>
      <w:r w:rsidR="001D2653">
        <w:rPr>
          <w:rFonts w:asciiTheme="minorHAnsi" w:hAnsiTheme="minorHAnsi" w:cstheme="minorHAnsi"/>
          <w:lang w:eastAsia="en-US"/>
        </w:rPr>
        <w:t>por sete jovens instituições, localizadas em pequenas cidades da periferia da União Europeia,</w:t>
      </w:r>
      <w:r>
        <w:rPr>
          <w:rFonts w:asciiTheme="minorHAnsi" w:hAnsiTheme="minorHAnsi" w:cstheme="minorHAnsi"/>
          <w:lang w:eastAsia="en-US"/>
        </w:rPr>
        <w:t xml:space="preserve"> às universidades europeias.</w:t>
      </w:r>
      <w:r w:rsidR="00B07E22">
        <w:rPr>
          <w:rFonts w:asciiTheme="minorHAnsi" w:hAnsiTheme="minorHAnsi" w:cstheme="minorHAnsi"/>
          <w:lang w:eastAsia="en-US"/>
        </w:rPr>
        <w:t xml:space="preserve"> Este revés não abalará </w:t>
      </w:r>
      <w:r w:rsidR="0027313D">
        <w:rPr>
          <w:rFonts w:asciiTheme="minorHAnsi" w:hAnsiTheme="minorHAnsi" w:cstheme="minorHAnsi"/>
          <w:lang w:eastAsia="en-US"/>
        </w:rPr>
        <w:t>a nossa determinação em</w:t>
      </w:r>
      <w:r w:rsidR="00B07E22">
        <w:rPr>
          <w:rFonts w:asciiTheme="minorHAnsi" w:hAnsiTheme="minorHAnsi" w:cstheme="minorHAnsi"/>
          <w:lang w:eastAsia="en-US"/>
        </w:rPr>
        <w:t xml:space="preserve"> </w:t>
      </w:r>
      <w:r w:rsidR="0027313D" w:rsidRPr="000130F2">
        <w:rPr>
          <w:rFonts w:asciiTheme="minorHAnsi" w:hAnsiTheme="minorHAnsi" w:cstheme="minorHAnsi"/>
          <w:lang w:eastAsia="en-US"/>
        </w:rPr>
        <w:t>“promover a sustentabilidade através da inovação e da inclusão, no ensino e na investigação, num clima de proximidade”, visão definida no Plano Estratégico 2071-2021, e já anteriormente enunciada.</w:t>
      </w:r>
    </w:p>
    <w:p w:rsidR="00543B7E" w:rsidRDefault="00543B7E" w:rsidP="001D13CF">
      <w:pPr>
        <w:pStyle w:val="NormalWeb"/>
        <w:spacing w:before="120" w:after="120"/>
        <w:jc w:val="both"/>
        <w:rPr>
          <w:rFonts w:asciiTheme="minorHAnsi" w:hAnsiTheme="minorHAnsi" w:cstheme="minorHAnsi"/>
          <w:lang w:eastAsia="en-US"/>
        </w:rPr>
      </w:pPr>
    </w:p>
    <w:p w:rsidR="000130F2" w:rsidRDefault="009A076E"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Prova disso</w:t>
      </w:r>
      <w:r w:rsidR="00A57E30">
        <w:rPr>
          <w:rFonts w:asciiTheme="minorHAnsi" w:hAnsiTheme="minorHAnsi" w:cstheme="minorHAnsi"/>
          <w:lang w:eastAsia="en-US"/>
        </w:rPr>
        <w:t xml:space="preserve">, </w:t>
      </w:r>
      <w:r>
        <w:rPr>
          <w:rFonts w:asciiTheme="minorHAnsi" w:hAnsiTheme="minorHAnsi" w:cstheme="minorHAnsi"/>
          <w:lang w:eastAsia="en-US"/>
        </w:rPr>
        <w:t xml:space="preserve">a </w:t>
      </w:r>
      <w:r w:rsidR="000130F2">
        <w:rPr>
          <w:rFonts w:asciiTheme="minorHAnsi" w:hAnsiTheme="minorHAnsi" w:cstheme="minorHAnsi"/>
          <w:lang w:eastAsia="en-US"/>
        </w:rPr>
        <w:t>subm</w:t>
      </w:r>
      <w:r>
        <w:rPr>
          <w:rFonts w:asciiTheme="minorHAnsi" w:hAnsiTheme="minorHAnsi" w:cstheme="minorHAnsi"/>
          <w:lang w:eastAsia="en-US"/>
        </w:rPr>
        <w:t xml:space="preserve">issão </w:t>
      </w:r>
      <w:r w:rsidR="002D5525">
        <w:rPr>
          <w:rFonts w:asciiTheme="minorHAnsi" w:hAnsiTheme="minorHAnsi" w:cstheme="minorHAnsi"/>
          <w:lang w:eastAsia="en-US"/>
        </w:rPr>
        <w:t>ao ranking da Tim</w:t>
      </w:r>
      <w:r w:rsidR="004159AE">
        <w:rPr>
          <w:rFonts w:asciiTheme="minorHAnsi" w:hAnsiTheme="minorHAnsi" w:cstheme="minorHAnsi"/>
          <w:lang w:eastAsia="en-US"/>
        </w:rPr>
        <w:t xml:space="preserve">es Higher Education que avalia o desempenho e contributo das universidades para os Objetivos de Desenvolvimento Sustentável da Organização das Nações Unidas. Fomos uma das 766 instituições, de 85 países, que cumpriram os requisitos de inclusão, ficando no patamar 201-300. </w:t>
      </w:r>
    </w:p>
    <w:p w:rsidR="00220216" w:rsidRDefault="00A57E30"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Os resulta</w:t>
      </w:r>
      <w:r w:rsidR="009A076E">
        <w:rPr>
          <w:rFonts w:asciiTheme="minorHAnsi" w:hAnsiTheme="minorHAnsi" w:cstheme="minorHAnsi"/>
          <w:lang w:eastAsia="en-US"/>
        </w:rPr>
        <w:t>dos obtidos nestes processos constituem</w:t>
      </w:r>
      <w:r>
        <w:rPr>
          <w:rFonts w:asciiTheme="minorHAnsi" w:hAnsiTheme="minorHAnsi" w:cstheme="minorHAnsi"/>
          <w:lang w:eastAsia="en-US"/>
        </w:rPr>
        <w:t xml:space="preserve"> </w:t>
      </w:r>
      <w:r w:rsidR="009A076E">
        <w:rPr>
          <w:rFonts w:asciiTheme="minorHAnsi" w:hAnsiTheme="minorHAnsi" w:cstheme="minorHAnsi"/>
          <w:lang w:eastAsia="en-US"/>
        </w:rPr>
        <w:t xml:space="preserve">guias para a ação, </w:t>
      </w:r>
      <w:r>
        <w:rPr>
          <w:rFonts w:asciiTheme="minorHAnsi" w:hAnsiTheme="minorHAnsi" w:cstheme="minorHAnsi"/>
          <w:lang w:eastAsia="en-US"/>
        </w:rPr>
        <w:t>extremamente importantes para refor</w:t>
      </w:r>
      <w:r w:rsidR="000D750A">
        <w:rPr>
          <w:rFonts w:asciiTheme="minorHAnsi" w:hAnsiTheme="minorHAnsi" w:cstheme="minorHAnsi"/>
          <w:lang w:eastAsia="en-US"/>
        </w:rPr>
        <w:t>çarmos os nossos compromissos com os ODS.</w:t>
      </w:r>
    </w:p>
    <w:p w:rsidR="001D13CF" w:rsidRDefault="001D13CF">
      <w:pPr>
        <w:spacing w:after="160" w:line="259" w:lineRule="auto"/>
        <w:rPr>
          <w:rFonts w:asciiTheme="minorHAnsi" w:hAnsiTheme="minorHAnsi" w:cstheme="minorHAnsi"/>
          <w:lang w:eastAsia="en-US"/>
        </w:rPr>
      </w:pPr>
    </w:p>
    <w:p w:rsidR="009A076E" w:rsidRDefault="009A076E" w:rsidP="001D13CF">
      <w:pPr>
        <w:pStyle w:val="NormalWeb"/>
        <w:spacing w:before="120" w:after="120"/>
        <w:jc w:val="both"/>
        <w:rPr>
          <w:rFonts w:asciiTheme="minorHAnsi" w:hAnsiTheme="minorHAnsi" w:cstheme="minorHAnsi"/>
          <w:b/>
          <w:lang w:eastAsia="en-US"/>
        </w:rPr>
      </w:pPr>
      <w:r>
        <w:rPr>
          <w:rFonts w:asciiTheme="minorHAnsi" w:hAnsiTheme="minorHAnsi" w:cstheme="minorHAnsi"/>
          <w:b/>
          <w:lang w:eastAsia="en-US"/>
        </w:rPr>
        <w:t xml:space="preserve">3.º </w:t>
      </w:r>
      <w:r w:rsidR="001D13CF" w:rsidRPr="000338CC">
        <w:rPr>
          <w:rFonts w:asciiTheme="minorHAnsi" w:hAnsiTheme="minorHAnsi" w:cstheme="minorHAnsi"/>
          <w:b/>
          <w:lang w:eastAsia="en-US"/>
        </w:rPr>
        <w:t xml:space="preserve">Objetivo estratégico </w:t>
      </w:r>
      <w:r w:rsidR="00FF515F">
        <w:rPr>
          <w:rFonts w:asciiTheme="minorHAnsi" w:hAnsiTheme="minorHAnsi" w:cstheme="minorHAnsi"/>
          <w:b/>
          <w:lang w:eastAsia="en-US"/>
        </w:rPr>
        <w:t>(Relativo às Relações com a C</w:t>
      </w:r>
      <w:r>
        <w:rPr>
          <w:rFonts w:asciiTheme="minorHAnsi" w:hAnsiTheme="minorHAnsi" w:cstheme="minorHAnsi"/>
          <w:b/>
          <w:lang w:eastAsia="en-US"/>
        </w:rPr>
        <w:t>omunidade)</w:t>
      </w:r>
    </w:p>
    <w:p w:rsidR="001D13CF" w:rsidRPr="000338CC" w:rsidRDefault="001D13CF" w:rsidP="001D13CF">
      <w:pPr>
        <w:pStyle w:val="NormalWeb"/>
        <w:spacing w:before="120" w:after="120"/>
        <w:jc w:val="both"/>
        <w:rPr>
          <w:rFonts w:asciiTheme="minorHAnsi" w:hAnsiTheme="minorHAnsi" w:cstheme="minorHAnsi"/>
          <w:b/>
          <w:lang w:eastAsia="en-US"/>
        </w:rPr>
      </w:pPr>
      <w:r w:rsidRPr="000338CC">
        <w:rPr>
          <w:rFonts w:asciiTheme="minorHAnsi" w:hAnsiTheme="minorHAnsi" w:cstheme="minorHAnsi"/>
          <w:b/>
          <w:lang w:eastAsia="en-US"/>
        </w:rPr>
        <w:t>Aumentar o impacto da Universidade na Sociedade</w:t>
      </w:r>
    </w:p>
    <w:p w:rsidR="000338CC" w:rsidRDefault="000338CC" w:rsidP="001D13CF">
      <w:pPr>
        <w:pStyle w:val="NormalWeb"/>
        <w:spacing w:before="120" w:after="120"/>
        <w:jc w:val="both"/>
        <w:rPr>
          <w:rFonts w:asciiTheme="minorHAnsi" w:hAnsiTheme="minorHAnsi" w:cstheme="minorHAnsi"/>
          <w:lang w:eastAsia="en-US"/>
        </w:rPr>
      </w:pPr>
    </w:p>
    <w:p w:rsidR="00824171" w:rsidRDefault="00FF515F"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Este ano, o impacto da U</w:t>
      </w:r>
      <w:r w:rsidR="00824171">
        <w:rPr>
          <w:rFonts w:asciiTheme="minorHAnsi" w:hAnsiTheme="minorHAnsi" w:cstheme="minorHAnsi"/>
          <w:lang w:eastAsia="en-US"/>
        </w:rPr>
        <w:t xml:space="preserve">niversidade do </w:t>
      </w:r>
      <w:r>
        <w:rPr>
          <w:rFonts w:asciiTheme="minorHAnsi" w:hAnsiTheme="minorHAnsi" w:cstheme="minorHAnsi"/>
          <w:lang w:eastAsia="en-US"/>
        </w:rPr>
        <w:t>A</w:t>
      </w:r>
      <w:r w:rsidR="00824171">
        <w:rPr>
          <w:rFonts w:asciiTheme="minorHAnsi" w:hAnsiTheme="minorHAnsi" w:cstheme="minorHAnsi"/>
          <w:lang w:eastAsia="en-US"/>
        </w:rPr>
        <w:t>lgarve na sociedade ficou profundamente marcado pelo nosso envolvimento no combate à pandemia da COVID-19, quer diretamente que</w:t>
      </w:r>
      <w:r w:rsidR="000A6F33">
        <w:rPr>
          <w:rFonts w:asciiTheme="minorHAnsi" w:hAnsiTheme="minorHAnsi" w:cstheme="minorHAnsi"/>
          <w:lang w:eastAsia="en-US"/>
        </w:rPr>
        <w:t>r indiretamente através do</w:t>
      </w:r>
      <w:r w:rsidR="00824171">
        <w:rPr>
          <w:rFonts w:asciiTheme="minorHAnsi" w:hAnsiTheme="minorHAnsi" w:cstheme="minorHAnsi"/>
          <w:lang w:eastAsia="en-US"/>
        </w:rPr>
        <w:t xml:space="preserve"> ABC – Centro </w:t>
      </w:r>
      <w:r w:rsidR="008E59E3">
        <w:rPr>
          <w:rFonts w:asciiTheme="minorHAnsi" w:hAnsiTheme="minorHAnsi" w:cstheme="minorHAnsi"/>
          <w:lang w:eastAsia="en-US"/>
        </w:rPr>
        <w:t>Académico de Investigação e Formação Biomédica do Algarve, consórcio entre a UAlg e o CHUA, que se encontra sedeado no Campus de Gambelas.</w:t>
      </w:r>
    </w:p>
    <w:p w:rsidR="009D613E" w:rsidRDefault="009D613E"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Permitam-me</w:t>
      </w:r>
      <w:r w:rsidR="001A1F31">
        <w:rPr>
          <w:rFonts w:asciiTheme="minorHAnsi" w:hAnsiTheme="minorHAnsi" w:cstheme="minorHAnsi"/>
          <w:lang w:eastAsia="en-US"/>
        </w:rPr>
        <w:t xml:space="preserve"> a apresentação, muito sinté</w:t>
      </w:r>
      <w:r>
        <w:rPr>
          <w:rFonts w:asciiTheme="minorHAnsi" w:hAnsiTheme="minorHAnsi" w:cstheme="minorHAnsi"/>
          <w:lang w:eastAsia="en-US"/>
        </w:rPr>
        <w:t>tica,</w:t>
      </w:r>
      <w:r w:rsidR="001A1F31">
        <w:rPr>
          <w:rFonts w:asciiTheme="minorHAnsi" w:hAnsiTheme="minorHAnsi" w:cstheme="minorHAnsi"/>
          <w:lang w:eastAsia="en-US"/>
        </w:rPr>
        <w:t xml:space="preserve"> de</w:t>
      </w:r>
      <w:r>
        <w:rPr>
          <w:rFonts w:asciiTheme="minorHAnsi" w:hAnsiTheme="minorHAnsi" w:cstheme="minorHAnsi"/>
          <w:lang w:eastAsia="en-US"/>
        </w:rPr>
        <w:t xml:space="preserve"> alguns exemplos, tendo como fonte a comunicação social:</w:t>
      </w:r>
    </w:p>
    <w:p w:rsidR="000C083B" w:rsidRDefault="000C083B"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xml:space="preserve">- A realização de testes, através do ABC, </w:t>
      </w:r>
      <w:r w:rsidR="009C41E6">
        <w:rPr>
          <w:rFonts w:asciiTheme="minorHAnsi" w:hAnsiTheme="minorHAnsi" w:cstheme="minorHAnsi"/>
          <w:lang w:eastAsia="en-US"/>
        </w:rPr>
        <w:t xml:space="preserve">com a participação de investigadores da UAlg, logo a partir do início de abril, sendo pioneiro a nível nacional entre as instituições de ensino superior; </w:t>
      </w:r>
    </w:p>
    <w:p w:rsidR="009D613E" w:rsidRDefault="009D613E" w:rsidP="001D13CF">
      <w:pPr>
        <w:pStyle w:val="NormalWeb"/>
        <w:spacing w:before="120" w:after="120"/>
        <w:jc w:val="both"/>
        <w:rPr>
          <w:rFonts w:asciiTheme="minorHAnsi" w:hAnsiTheme="minorHAnsi" w:cstheme="minorHAnsi"/>
          <w:lang w:eastAsia="en-US"/>
        </w:rPr>
      </w:pPr>
      <w:r>
        <w:rPr>
          <w:rFonts w:asciiTheme="minorHAnsi" w:hAnsiTheme="minorHAnsi" w:cstheme="minorHAnsi"/>
          <w:lang w:eastAsia="en-US"/>
        </w:rPr>
        <w:t>- A participação de estudantes finalistas de medicina no reforço da linha de s</w:t>
      </w:r>
      <w:r w:rsidR="004532C3">
        <w:rPr>
          <w:rFonts w:asciiTheme="minorHAnsi" w:hAnsiTheme="minorHAnsi" w:cstheme="minorHAnsi"/>
          <w:lang w:eastAsia="en-US"/>
        </w:rPr>
        <w:t>aúde 24, logo a partir de março, numa parceria com o ABC;</w:t>
      </w:r>
    </w:p>
    <w:p w:rsidR="009C41E6" w:rsidRDefault="009C41E6" w:rsidP="009C41E6">
      <w:pPr>
        <w:pStyle w:val="NormalWeb"/>
        <w:shd w:val="clear" w:color="auto" w:fill="FFFFFF"/>
        <w:spacing w:after="150"/>
        <w:jc w:val="both"/>
        <w:rPr>
          <w:rFonts w:asciiTheme="minorHAnsi" w:hAnsiTheme="minorHAnsi" w:cstheme="minorHAnsi"/>
          <w:bCs/>
          <w:lang w:eastAsia="en-US"/>
        </w:rPr>
      </w:pPr>
      <w:r>
        <w:rPr>
          <w:rFonts w:asciiTheme="minorHAnsi" w:hAnsiTheme="minorHAnsi" w:cstheme="minorHAnsi"/>
          <w:bCs/>
          <w:lang w:eastAsia="en-US"/>
        </w:rPr>
        <w:t>- O projeto Covidalgarve</w:t>
      </w:r>
      <w:r w:rsidR="00FF515F">
        <w:rPr>
          <w:rFonts w:asciiTheme="minorHAnsi" w:hAnsiTheme="minorHAnsi" w:cstheme="minorHAnsi"/>
          <w:bCs/>
          <w:lang w:eastAsia="en-US"/>
        </w:rPr>
        <w:t>, 1.º</w:t>
      </w:r>
      <w:r w:rsidR="000E58D2">
        <w:rPr>
          <w:rFonts w:asciiTheme="minorHAnsi" w:hAnsiTheme="minorHAnsi" w:cstheme="minorHAnsi"/>
          <w:bCs/>
          <w:lang w:eastAsia="en-US"/>
        </w:rPr>
        <w:t xml:space="preserve"> prémio</w:t>
      </w:r>
      <w:r w:rsidR="00FF515F">
        <w:rPr>
          <w:rFonts w:asciiTheme="minorHAnsi" w:hAnsiTheme="minorHAnsi" w:cstheme="minorHAnsi"/>
          <w:bCs/>
          <w:lang w:eastAsia="en-US"/>
        </w:rPr>
        <w:t xml:space="preserve"> da iniciativa</w:t>
      </w:r>
      <w:r w:rsidR="000E58D2">
        <w:rPr>
          <w:rFonts w:asciiTheme="minorHAnsi" w:hAnsiTheme="minorHAnsi" w:cstheme="minorHAnsi"/>
          <w:bCs/>
          <w:lang w:eastAsia="en-US"/>
        </w:rPr>
        <w:t xml:space="preserve"> “Eu Participo” da Rede de Autarquias Participativas, desenvolvido por estudantes do 5.º ano de medicina que chegou a 900 famílias, </w:t>
      </w:r>
      <w:r w:rsidR="000E58D2">
        <w:rPr>
          <w:rFonts w:asciiTheme="minorHAnsi" w:hAnsiTheme="minorHAnsi" w:cstheme="minorHAnsi"/>
          <w:bCs/>
          <w:lang w:eastAsia="en-US"/>
        </w:rPr>
        <w:lastRenderedPageBreak/>
        <w:t>mais desfavorecidas, de 6 concelhos, através de ações de sensibilização e de informação sobre medidas de proteção para a COVID</w:t>
      </w:r>
      <w:r w:rsidR="00FF515F">
        <w:rPr>
          <w:rFonts w:asciiTheme="minorHAnsi" w:hAnsiTheme="minorHAnsi" w:cstheme="minorHAnsi"/>
          <w:bCs/>
          <w:lang w:eastAsia="en-US"/>
        </w:rPr>
        <w:t>-19</w:t>
      </w:r>
      <w:r w:rsidR="000E58D2">
        <w:rPr>
          <w:rFonts w:asciiTheme="minorHAnsi" w:hAnsiTheme="minorHAnsi" w:cstheme="minorHAnsi"/>
          <w:bCs/>
          <w:lang w:eastAsia="en-US"/>
        </w:rPr>
        <w:t xml:space="preserve"> e da entrega de bens alimentares e gel desinfetante;</w:t>
      </w:r>
    </w:p>
    <w:p w:rsidR="006933E9" w:rsidRDefault="000E58D2" w:rsidP="00FD69DF">
      <w:pPr>
        <w:pStyle w:val="NormalWeb"/>
        <w:shd w:val="clear" w:color="auto" w:fill="FFFFFF"/>
        <w:spacing w:after="150"/>
        <w:jc w:val="both"/>
        <w:rPr>
          <w:rFonts w:asciiTheme="minorHAnsi" w:hAnsiTheme="minorHAnsi" w:cstheme="minorHAnsi"/>
          <w:bCs/>
          <w:lang w:eastAsia="en-US"/>
        </w:rPr>
      </w:pPr>
      <w:r w:rsidRPr="00FD69DF">
        <w:rPr>
          <w:rFonts w:asciiTheme="minorHAnsi" w:hAnsiTheme="minorHAnsi" w:cstheme="minorHAnsi"/>
          <w:bCs/>
          <w:lang w:eastAsia="en-US"/>
        </w:rPr>
        <w:t xml:space="preserve">- O projeto Qlinic, </w:t>
      </w:r>
      <w:r w:rsidR="00FF515F">
        <w:rPr>
          <w:rFonts w:asciiTheme="minorHAnsi" w:hAnsiTheme="minorHAnsi" w:cstheme="minorHAnsi"/>
          <w:bCs/>
          <w:lang w:eastAsia="en-US"/>
        </w:rPr>
        <w:t>2.º prémio da iniciativa “Eu Participo” da Rede de Autarquias Participativas,</w:t>
      </w:r>
      <w:r w:rsidR="00FF515F" w:rsidRPr="00FD69DF">
        <w:rPr>
          <w:rFonts w:asciiTheme="minorHAnsi" w:hAnsiTheme="minorHAnsi" w:cstheme="minorHAnsi"/>
          <w:bCs/>
          <w:lang w:eastAsia="en-US"/>
        </w:rPr>
        <w:t xml:space="preserve"> </w:t>
      </w:r>
      <w:r w:rsidR="001A1F31">
        <w:rPr>
          <w:rFonts w:asciiTheme="minorHAnsi" w:hAnsiTheme="minorHAnsi" w:cstheme="minorHAnsi"/>
          <w:bCs/>
          <w:lang w:eastAsia="en-US"/>
        </w:rPr>
        <w:t>também</w:t>
      </w:r>
      <w:r w:rsidR="00FF515F">
        <w:rPr>
          <w:rFonts w:asciiTheme="minorHAnsi" w:hAnsiTheme="minorHAnsi" w:cstheme="minorHAnsi"/>
          <w:bCs/>
          <w:lang w:eastAsia="en-US"/>
        </w:rPr>
        <w:t xml:space="preserve"> desenvolvido</w:t>
      </w:r>
      <w:r w:rsidR="006933E9" w:rsidRPr="00FD69DF">
        <w:rPr>
          <w:rFonts w:asciiTheme="minorHAnsi" w:hAnsiTheme="minorHAnsi" w:cstheme="minorHAnsi"/>
          <w:bCs/>
          <w:lang w:eastAsia="en-US"/>
        </w:rPr>
        <w:t xml:space="preserve"> por estudantes do 5.º ano de medicina, </w:t>
      </w:r>
      <w:r w:rsidR="006933E9">
        <w:rPr>
          <w:rFonts w:asciiTheme="minorHAnsi" w:hAnsiTheme="minorHAnsi" w:cstheme="minorHAnsi"/>
          <w:bCs/>
          <w:lang w:eastAsia="en-US"/>
        </w:rPr>
        <w:t>que consiste numa plataforma online que res</w:t>
      </w:r>
      <w:r w:rsidR="001A1F31">
        <w:rPr>
          <w:rFonts w:asciiTheme="minorHAnsi" w:hAnsiTheme="minorHAnsi" w:cstheme="minorHAnsi"/>
          <w:bCs/>
          <w:lang w:eastAsia="en-US"/>
        </w:rPr>
        <w:t>ponde a questões das populações</w:t>
      </w:r>
      <w:r w:rsidR="006933E9">
        <w:rPr>
          <w:rFonts w:asciiTheme="minorHAnsi" w:hAnsiTheme="minorHAnsi" w:cstheme="minorHAnsi"/>
          <w:bCs/>
          <w:lang w:eastAsia="en-US"/>
        </w:rPr>
        <w:t xml:space="preserve"> sobre saúde, com o intuit</w:t>
      </w:r>
      <w:r w:rsidR="007D6B98">
        <w:rPr>
          <w:rFonts w:asciiTheme="minorHAnsi" w:hAnsiTheme="minorHAnsi" w:cstheme="minorHAnsi"/>
          <w:bCs/>
          <w:lang w:eastAsia="en-US"/>
        </w:rPr>
        <w:t>o de combater a desinformação, num contexto de sobrecarga dos serviços de saúde.</w:t>
      </w:r>
    </w:p>
    <w:p w:rsidR="00FD69DF" w:rsidRDefault="003609DC" w:rsidP="00FD69DF">
      <w:pPr>
        <w:pStyle w:val="NormalWeb"/>
        <w:shd w:val="clear" w:color="auto" w:fill="FFFFFF"/>
        <w:spacing w:after="150"/>
        <w:jc w:val="both"/>
        <w:rPr>
          <w:rFonts w:asciiTheme="minorHAnsi" w:hAnsiTheme="minorHAnsi" w:cstheme="minorHAnsi"/>
          <w:bCs/>
          <w:lang w:eastAsia="en-US"/>
        </w:rPr>
      </w:pPr>
      <w:r>
        <w:rPr>
          <w:rFonts w:asciiTheme="minorHAnsi" w:hAnsiTheme="minorHAnsi" w:cstheme="minorHAnsi"/>
          <w:bCs/>
          <w:lang w:eastAsia="en-US"/>
        </w:rPr>
        <w:t xml:space="preserve">Mas a mobilização e participação não se circunscreveu à medicina. </w:t>
      </w:r>
      <w:r w:rsidR="00CF17FF">
        <w:rPr>
          <w:rFonts w:asciiTheme="minorHAnsi" w:hAnsiTheme="minorHAnsi" w:cstheme="minorHAnsi"/>
          <w:bCs/>
          <w:lang w:eastAsia="en-US"/>
        </w:rPr>
        <w:t>Estudantes de Ciências Farmacêuticas estiveram envolv</w:t>
      </w:r>
      <w:r>
        <w:rPr>
          <w:rFonts w:asciiTheme="minorHAnsi" w:hAnsiTheme="minorHAnsi" w:cstheme="minorHAnsi"/>
          <w:bCs/>
          <w:lang w:eastAsia="en-US"/>
        </w:rPr>
        <w:t>idos na produção de gel desinfe</w:t>
      </w:r>
      <w:r w:rsidR="00CF17FF">
        <w:rPr>
          <w:rFonts w:asciiTheme="minorHAnsi" w:hAnsiTheme="minorHAnsi" w:cstheme="minorHAnsi"/>
          <w:bCs/>
          <w:lang w:eastAsia="en-US"/>
        </w:rPr>
        <w:t>tante, estudantes de Ciências Biomédicas La</w:t>
      </w:r>
      <w:r>
        <w:rPr>
          <w:rFonts w:asciiTheme="minorHAnsi" w:hAnsiTheme="minorHAnsi" w:cstheme="minorHAnsi"/>
          <w:bCs/>
          <w:lang w:eastAsia="en-US"/>
        </w:rPr>
        <w:t>boratoriais nas recolhas realizadas do Drive Thru do Estádio Al</w:t>
      </w:r>
      <w:r w:rsidR="00425718">
        <w:rPr>
          <w:rFonts w:asciiTheme="minorHAnsi" w:hAnsiTheme="minorHAnsi" w:cstheme="minorHAnsi"/>
          <w:bCs/>
          <w:lang w:eastAsia="en-US"/>
        </w:rPr>
        <w:t>garve, e muitos outros estudantes participaram em ações de voluntariado.</w:t>
      </w:r>
    </w:p>
    <w:p w:rsidR="00450F42" w:rsidRDefault="00450F42" w:rsidP="007D6B98">
      <w:pPr>
        <w:pStyle w:val="NormalWeb"/>
        <w:shd w:val="clear" w:color="auto" w:fill="FFFFFF"/>
        <w:spacing w:after="150"/>
        <w:rPr>
          <w:color w:val="333333"/>
        </w:rPr>
      </w:pPr>
    </w:p>
    <w:p w:rsidR="00425718" w:rsidRPr="00D76F31" w:rsidRDefault="00450F42" w:rsidP="00D76F31">
      <w:pPr>
        <w:pStyle w:val="NormalWeb"/>
        <w:shd w:val="clear" w:color="auto" w:fill="FFFFFF"/>
        <w:spacing w:after="150"/>
        <w:jc w:val="both"/>
        <w:rPr>
          <w:rFonts w:asciiTheme="minorHAnsi" w:hAnsiTheme="minorHAnsi" w:cstheme="minorHAnsi"/>
          <w:bCs/>
          <w:lang w:eastAsia="en-US"/>
        </w:rPr>
      </w:pPr>
      <w:r w:rsidRPr="00D76F31">
        <w:rPr>
          <w:rFonts w:asciiTheme="minorHAnsi" w:hAnsiTheme="minorHAnsi" w:cstheme="minorHAnsi"/>
          <w:bCs/>
          <w:lang w:eastAsia="en-US"/>
        </w:rPr>
        <w:t xml:space="preserve">Mas em 2020 tivemos vida para além da pandemia. </w:t>
      </w:r>
      <w:r w:rsidR="001A1F31">
        <w:rPr>
          <w:rFonts w:asciiTheme="minorHAnsi" w:hAnsiTheme="minorHAnsi" w:cstheme="minorHAnsi"/>
          <w:bCs/>
          <w:lang w:eastAsia="en-US"/>
        </w:rPr>
        <w:t>Ainda antes do</w:t>
      </w:r>
      <w:r w:rsidRPr="00D76F31">
        <w:rPr>
          <w:rFonts w:asciiTheme="minorHAnsi" w:hAnsiTheme="minorHAnsi" w:cstheme="minorHAnsi"/>
          <w:bCs/>
          <w:lang w:eastAsia="en-US"/>
        </w:rPr>
        <w:t xml:space="preserve"> </w:t>
      </w:r>
      <w:r w:rsidR="001A1F31">
        <w:rPr>
          <w:rFonts w:asciiTheme="minorHAnsi" w:hAnsiTheme="minorHAnsi" w:cstheme="minorHAnsi"/>
          <w:bCs/>
          <w:lang w:eastAsia="en-US"/>
        </w:rPr>
        <w:t>início da mesma, a Universidade do A</w:t>
      </w:r>
      <w:r w:rsidR="00425718" w:rsidRPr="00D76F31">
        <w:rPr>
          <w:rFonts w:asciiTheme="minorHAnsi" w:hAnsiTheme="minorHAnsi" w:cstheme="minorHAnsi"/>
          <w:bCs/>
          <w:lang w:eastAsia="en-US"/>
        </w:rPr>
        <w:t xml:space="preserve">lgarve </w:t>
      </w:r>
      <w:r w:rsidR="00296338" w:rsidRPr="00D76F31">
        <w:rPr>
          <w:rFonts w:asciiTheme="minorHAnsi" w:hAnsiTheme="minorHAnsi" w:cstheme="minorHAnsi"/>
          <w:bCs/>
          <w:lang w:eastAsia="en-US"/>
        </w:rPr>
        <w:t>foi palco de um acontecimento de relevância global: a reunião do Grupo de Trabalho II do Painel Intergovernamental sobre Alterações Climáticas</w:t>
      </w:r>
      <w:r w:rsidRPr="00D76F31">
        <w:rPr>
          <w:rFonts w:asciiTheme="minorHAnsi" w:hAnsiTheme="minorHAnsi" w:cstheme="minorHAnsi"/>
          <w:bCs/>
          <w:lang w:eastAsia="en-US"/>
        </w:rPr>
        <w:t xml:space="preserve">. 260 especialistas, provenientes de mais de 60 países, estiveram </w:t>
      </w:r>
      <w:r w:rsidR="001A1F31">
        <w:rPr>
          <w:rFonts w:asciiTheme="minorHAnsi" w:hAnsiTheme="minorHAnsi" w:cstheme="minorHAnsi"/>
          <w:bCs/>
          <w:lang w:eastAsia="en-US"/>
        </w:rPr>
        <w:t xml:space="preserve">entre nós </w:t>
      </w:r>
      <w:r w:rsidRPr="00D76F31">
        <w:rPr>
          <w:rFonts w:asciiTheme="minorHAnsi" w:hAnsiTheme="minorHAnsi" w:cstheme="minorHAnsi"/>
          <w:bCs/>
          <w:lang w:eastAsia="en-US"/>
        </w:rPr>
        <w:t xml:space="preserve">a preparar o </w:t>
      </w:r>
      <w:r w:rsidR="00D76F31" w:rsidRPr="00D76F31">
        <w:rPr>
          <w:rFonts w:asciiTheme="minorHAnsi" w:hAnsiTheme="minorHAnsi" w:cstheme="minorHAnsi"/>
          <w:bCs/>
          <w:lang w:eastAsia="en-US"/>
        </w:rPr>
        <w:t xml:space="preserve">6.º Relatório de Avaliação. O evento foi co-organizado pela </w:t>
      </w:r>
      <w:r w:rsidR="00425718" w:rsidRPr="00D76F31">
        <w:rPr>
          <w:rFonts w:asciiTheme="minorHAnsi" w:hAnsiTheme="minorHAnsi" w:cstheme="minorHAnsi"/>
          <w:bCs/>
          <w:lang w:eastAsia="en-US"/>
        </w:rPr>
        <w:t xml:space="preserve">Direção-Geral de Política do Mar e </w:t>
      </w:r>
      <w:r w:rsidR="00D76F31" w:rsidRPr="00D76F31">
        <w:rPr>
          <w:rFonts w:asciiTheme="minorHAnsi" w:hAnsiTheme="minorHAnsi" w:cstheme="minorHAnsi"/>
          <w:bCs/>
          <w:lang w:eastAsia="en-US"/>
        </w:rPr>
        <w:t>pelo</w:t>
      </w:r>
      <w:r w:rsidR="00425718" w:rsidRPr="00D76F31">
        <w:rPr>
          <w:rFonts w:asciiTheme="minorHAnsi" w:hAnsiTheme="minorHAnsi" w:cstheme="minorHAnsi"/>
          <w:bCs/>
          <w:lang w:eastAsia="en-US"/>
        </w:rPr>
        <w:t xml:space="preserve"> Centro de Ciências do Mar.</w:t>
      </w:r>
    </w:p>
    <w:p w:rsidR="004532C3" w:rsidRDefault="004532C3" w:rsidP="001D13CF">
      <w:pPr>
        <w:pStyle w:val="NormalWeb"/>
        <w:spacing w:before="120" w:after="120"/>
        <w:jc w:val="both"/>
        <w:rPr>
          <w:rFonts w:asciiTheme="minorHAnsi" w:hAnsiTheme="minorHAnsi" w:cstheme="minorHAnsi"/>
          <w:lang w:eastAsia="en-US"/>
        </w:rPr>
      </w:pPr>
    </w:p>
    <w:p w:rsidR="007363C4" w:rsidRDefault="00D76F31" w:rsidP="001D13CF">
      <w:pPr>
        <w:pStyle w:val="NormalWeb"/>
        <w:spacing w:before="120" w:after="120"/>
        <w:jc w:val="both"/>
        <w:rPr>
          <w:rFonts w:asciiTheme="minorHAnsi" w:hAnsiTheme="minorHAnsi" w:cstheme="minorHAnsi"/>
          <w:bCs/>
          <w:lang w:eastAsia="en-US"/>
        </w:rPr>
      </w:pPr>
      <w:r w:rsidRPr="00803460">
        <w:rPr>
          <w:rFonts w:asciiTheme="minorHAnsi" w:hAnsiTheme="minorHAnsi" w:cstheme="minorHAnsi"/>
          <w:bCs/>
          <w:lang w:eastAsia="en-US"/>
        </w:rPr>
        <w:t xml:space="preserve">A participação no </w:t>
      </w:r>
      <w:r w:rsidR="00803460" w:rsidRPr="00803460">
        <w:rPr>
          <w:rFonts w:asciiTheme="minorHAnsi" w:hAnsiTheme="minorHAnsi" w:cstheme="minorHAnsi"/>
          <w:bCs/>
          <w:lang w:eastAsia="en-US"/>
        </w:rPr>
        <w:t>Comité Insular da Ilha da Culatra, inserido na iniciativa Culatra2030 (Comunidade Energética Sustentável)</w:t>
      </w:r>
      <w:r w:rsidR="00803460">
        <w:rPr>
          <w:rFonts w:asciiTheme="minorHAnsi" w:hAnsiTheme="minorHAnsi" w:cstheme="minorHAnsi"/>
          <w:bCs/>
          <w:lang w:eastAsia="en-US"/>
        </w:rPr>
        <w:t>; a promoção com a AlgFuturo da iniciativa “Água e Sociedade”</w:t>
      </w:r>
      <w:r w:rsidR="00352DF3">
        <w:rPr>
          <w:rFonts w:asciiTheme="minorHAnsi" w:hAnsiTheme="minorHAnsi" w:cstheme="minorHAnsi"/>
          <w:bCs/>
          <w:lang w:eastAsia="en-US"/>
        </w:rPr>
        <w:t>,</w:t>
      </w:r>
      <w:r w:rsidR="00803460">
        <w:rPr>
          <w:rFonts w:asciiTheme="minorHAnsi" w:hAnsiTheme="minorHAnsi" w:cstheme="minorHAnsi"/>
          <w:bCs/>
          <w:lang w:eastAsia="en-US"/>
        </w:rPr>
        <w:t xml:space="preserve"> que culminou num Encontro com a participação do Sr. Ministro do Ambiente e Ação Climática </w:t>
      </w:r>
      <w:r w:rsidR="001A1F31">
        <w:rPr>
          <w:rFonts w:asciiTheme="minorHAnsi" w:hAnsiTheme="minorHAnsi" w:cstheme="minorHAnsi"/>
          <w:bCs/>
          <w:lang w:eastAsia="en-US"/>
        </w:rPr>
        <w:t xml:space="preserve">em </w:t>
      </w:r>
      <w:r w:rsidR="00803460">
        <w:rPr>
          <w:rFonts w:asciiTheme="minorHAnsi" w:hAnsiTheme="minorHAnsi" w:cstheme="minorHAnsi"/>
          <w:bCs/>
          <w:lang w:eastAsia="en-US"/>
        </w:rPr>
        <w:t xml:space="preserve">que apresentou </w:t>
      </w:r>
      <w:r w:rsidR="00913630">
        <w:rPr>
          <w:rFonts w:asciiTheme="minorHAnsi" w:hAnsiTheme="minorHAnsi" w:cstheme="minorHAnsi"/>
          <w:bCs/>
          <w:lang w:eastAsia="en-US"/>
        </w:rPr>
        <w:t xml:space="preserve">medidas a desenvolver no âmbito do Plano de </w:t>
      </w:r>
      <w:r w:rsidR="003B71D8">
        <w:rPr>
          <w:rFonts w:asciiTheme="minorHAnsi" w:hAnsiTheme="minorHAnsi" w:cstheme="minorHAnsi"/>
          <w:bCs/>
          <w:lang w:eastAsia="en-US"/>
        </w:rPr>
        <w:t>Eficiência Hídrica do Algarve inscrito no Plano de Recuperação e Resiliência, são exemplos</w:t>
      </w:r>
      <w:r w:rsidR="003637C0">
        <w:rPr>
          <w:rFonts w:asciiTheme="minorHAnsi" w:hAnsiTheme="minorHAnsi" w:cstheme="minorHAnsi"/>
          <w:bCs/>
          <w:lang w:eastAsia="en-US"/>
        </w:rPr>
        <w:t xml:space="preserve"> de interv</w:t>
      </w:r>
      <w:r w:rsidR="00974B8F">
        <w:rPr>
          <w:rFonts w:asciiTheme="minorHAnsi" w:hAnsiTheme="minorHAnsi" w:cstheme="minorHAnsi"/>
          <w:bCs/>
          <w:lang w:eastAsia="en-US"/>
        </w:rPr>
        <w:t>enções em temáticas com</w:t>
      </w:r>
      <w:r w:rsidR="003637C0">
        <w:rPr>
          <w:rFonts w:asciiTheme="minorHAnsi" w:hAnsiTheme="minorHAnsi" w:cstheme="minorHAnsi"/>
          <w:bCs/>
          <w:lang w:eastAsia="en-US"/>
        </w:rPr>
        <w:t xml:space="preserve"> enorme impacto na sociedade, com enorme impacto nas nossas vidas.</w:t>
      </w:r>
    </w:p>
    <w:p w:rsidR="00974B8F" w:rsidRDefault="00974B8F" w:rsidP="001D13CF">
      <w:pPr>
        <w:pStyle w:val="NormalWeb"/>
        <w:spacing w:before="120" w:after="120"/>
        <w:jc w:val="both"/>
        <w:rPr>
          <w:rFonts w:asciiTheme="minorHAnsi" w:hAnsiTheme="minorHAnsi" w:cstheme="minorHAnsi"/>
          <w:bCs/>
          <w:lang w:eastAsia="en-US"/>
        </w:rPr>
      </w:pPr>
    </w:p>
    <w:p w:rsidR="00974B8F" w:rsidRPr="00803460" w:rsidRDefault="00974B8F" w:rsidP="001D13CF">
      <w:pPr>
        <w:pStyle w:val="NormalWeb"/>
        <w:spacing w:before="120" w:after="120"/>
        <w:jc w:val="both"/>
        <w:rPr>
          <w:rFonts w:asciiTheme="minorHAnsi" w:hAnsiTheme="minorHAnsi" w:cstheme="minorHAnsi"/>
          <w:bCs/>
          <w:lang w:eastAsia="en-US"/>
        </w:rPr>
      </w:pPr>
      <w:r>
        <w:rPr>
          <w:rFonts w:asciiTheme="minorHAnsi" w:hAnsiTheme="minorHAnsi" w:cstheme="minorHAnsi"/>
          <w:bCs/>
          <w:lang w:eastAsia="en-US"/>
        </w:rPr>
        <w:t xml:space="preserve">A Salvaguarda da Dieta Mediterrânica e o Voluntariado continuaram a ser bandeiras que continuamos a erguer e que consideramos </w:t>
      </w:r>
      <w:r w:rsidR="007371FF">
        <w:rPr>
          <w:rFonts w:asciiTheme="minorHAnsi" w:hAnsiTheme="minorHAnsi" w:cstheme="minorHAnsi"/>
          <w:bCs/>
          <w:lang w:eastAsia="en-US"/>
        </w:rPr>
        <w:t>de importância</w:t>
      </w:r>
      <w:r w:rsidR="002879E9">
        <w:rPr>
          <w:rFonts w:asciiTheme="minorHAnsi" w:hAnsiTheme="minorHAnsi" w:cstheme="minorHAnsi"/>
          <w:bCs/>
          <w:lang w:eastAsia="en-US"/>
        </w:rPr>
        <w:t xml:space="preserve"> crescente.</w:t>
      </w:r>
    </w:p>
    <w:p w:rsidR="007371FF" w:rsidRDefault="00437AC5" w:rsidP="002E5802">
      <w:pPr>
        <w:shd w:val="clear" w:color="auto" w:fill="FFFFFF"/>
        <w:spacing w:before="360" w:after="360"/>
        <w:jc w:val="both"/>
        <w:rPr>
          <w:rFonts w:asciiTheme="minorHAnsi" w:hAnsiTheme="minorHAnsi" w:cstheme="minorHAnsi"/>
          <w:lang w:eastAsia="en-US"/>
        </w:rPr>
      </w:pPr>
      <w:r>
        <w:rPr>
          <w:rFonts w:asciiTheme="minorHAnsi" w:hAnsiTheme="minorHAnsi" w:cstheme="minorHAnsi"/>
          <w:lang w:eastAsia="en-US"/>
        </w:rPr>
        <w:t>Estamos convictos que as nossas práticas internas também são fator de impacto na sociedade. Constitui disso exemplo a obtenção do certificado Healthy</w:t>
      </w:r>
      <w:r w:rsidR="001B75B3">
        <w:rPr>
          <w:rFonts w:asciiTheme="minorHAnsi" w:hAnsiTheme="minorHAnsi" w:cstheme="minorHAnsi"/>
          <w:lang w:eastAsia="en-US"/>
        </w:rPr>
        <w:t xml:space="preserve"> Campus:</w:t>
      </w:r>
      <w:r>
        <w:rPr>
          <w:rFonts w:asciiTheme="minorHAnsi" w:hAnsiTheme="minorHAnsi" w:cstheme="minorHAnsi"/>
          <w:lang w:eastAsia="en-US"/>
        </w:rPr>
        <w:t xml:space="preserve"> programa de certificação criado pela Federação Internacional de Desporto Universitário </w:t>
      </w:r>
      <w:r w:rsidR="001B75B3">
        <w:rPr>
          <w:rFonts w:asciiTheme="minorHAnsi" w:hAnsiTheme="minorHAnsi" w:cstheme="minorHAnsi"/>
          <w:lang w:eastAsia="en-US"/>
        </w:rPr>
        <w:t xml:space="preserve">que </w:t>
      </w:r>
      <w:r w:rsidRPr="000338CC">
        <w:rPr>
          <w:rFonts w:asciiTheme="minorHAnsi" w:hAnsiTheme="minorHAnsi" w:cstheme="minorHAnsi"/>
          <w:lang w:eastAsia="en-US"/>
        </w:rPr>
        <w:t>procura contribuir para a promoção da saúde e do bem-estar nos campi universitários</w:t>
      </w:r>
      <w:r>
        <w:rPr>
          <w:rFonts w:asciiTheme="minorHAnsi" w:hAnsiTheme="minorHAnsi" w:cstheme="minorHAnsi"/>
          <w:lang w:eastAsia="en-US"/>
        </w:rPr>
        <w:t xml:space="preserve">. </w:t>
      </w:r>
    </w:p>
    <w:p w:rsidR="002E5802" w:rsidRDefault="002E5802" w:rsidP="002E5802">
      <w:pPr>
        <w:shd w:val="clear" w:color="auto" w:fill="FFFFFF"/>
        <w:spacing w:before="360" w:after="360"/>
        <w:jc w:val="both"/>
        <w:rPr>
          <w:rFonts w:asciiTheme="minorHAnsi" w:hAnsiTheme="minorHAnsi" w:cstheme="minorHAnsi"/>
          <w:lang w:eastAsia="en-US"/>
        </w:rPr>
      </w:pPr>
      <w:r w:rsidRPr="008909A8">
        <w:rPr>
          <w:rFonts w:asciiTheme="minorHAnsi" w:hAnsiTheme="minorHAnsi" w:cstheme="minorHAnsi"/>
          <w:lang w:eastAsia="en-US"/>
        </w:rPr>
        <w:t>Fruto de um conjunto</w:t>
      </w:r>
      <w:r>
        <w:rPr>
          <w:rFonts w:asciiTheme="minorHAnsi" w:hAnsiTheme="minorHAnsi" w:cstheme="minorHAnsi"/>
          <w:lang w:eastAsia="en-US"/>
        </w:rPr>
        <w:t xml:space="preserve"> de iniciativas desenvolvidas</w:t>
      </w:r>
      <w:r w:rsidRPr="008909A8">
        <w:rPr>
          <w:rFonts w:asciiTheme="minorHAnsi" w:hAnsiTheme="minorHAnsi" w:cstheme="minorHAnsi"/>
          <w:lang w:eastAsia="en-US"/>
        </w:rPr>
        <w:t>, onde se inclui</w:t>
      </w:r>
      <w:r>
        <w:rPr>
          <w:rFonts w:asciiTheme="minorHAnsi" w:hAnsiTheme="minorHAnsi" w:cstheme="minorHAnsi"/>
          <w:lang w:eastAsia="en-US"/>
        </w:rPr>
        <w:t xml:space="preserve"> o sistema de bicicletas partilhadas da UAlg, foi-nos atribuído em 2020 a bandeira Eco Campus pela A</w:t>
      </w:r>
      <w:r w:rsidRPr="00E673E9">
        <w:rPr>
          <w:rFonts w:asciiTheme="minorHAnsi" w:hAnsiTheme="minorHAnsi" w:cstheme="minorHAnsi"/>
          <w:lang w:eastAsia="en-US"/>
        </w:rPr>
        <w:t>ssociação Bandeira Azul da Europa</w:t>
      </w:r>
      <w:r>
        <w:rPr>
          <w:rFonts w:asciiTheme="minorHAnsi" w:hAnsiTheme="minorHAnsi" w:cstheme="minorHAnsi"/>
          <w:lang w:eastAsia="en-US"/>
        </w:rPr>
        <w:t>.</w:t>
      </w:r>
    </w:p>
    <w:p w:rsidR="002E5802" w:rsidRDefault="002E5802" w:rsidP="002E5802">
      <w:pPr>
        <w:shd w:val="clear" w:color="auto" w:fill="FFFFFF"/>
        <w:spacing w:before="360" w:after="360"/>
        <w:jc w:val="both"/>
        <w:rPr>
          <w:rFonts w:asciiTheme="minorHAnsi" w:hAnsiTheme="minorHAnsi" w:cstheme="minorHAnsi"/>
          <w:lang w:eastAsia="en-US"/>
        </w:rPr>
      </w:pPr>
      <w:r>
        <w:rPr>
          <w:rFonts w:asciiTheme="minorHAnsi" w:hAnsiTheme="minorHAnsi" w:cstheme="minorHAnsi"/>
          <w:lang w:eastAsia="en-US"/>
        </w:rPr>
        <w:t>Através do POSEUR</w:t>
      </w:r>
      <w:r w:rsidR="001B75B3">
        <w:rPr>
          <w:rFonts w:asciiTheme="minorHAnsi" w:hAnsiTheme="minorHAnsi" w:cstheme="minorHAnsi"/>
          <w:lang w:eastAsia="en-US"/>
        </w:rPr>
        <w:t xml:space="preserve"> – programa operacional sustentabilidade e eficiência no uso dos recursos</w:t>
      </w:r>
      <w:r>
        <w:rPr>
          <w:rFonts w:asciiTheme="minorHAnsi" w:hAnsiTheme="minorHAnsi" w:cstheme="minorHAnsi"/>
          <w:lang w:eastAsia="en-US"/>
        </w:rPr>
        <w:t>, reforçámos o nosso compromisso com a sustentabilidade, ao investir no aumento da eficiência energética</w:t>
      </w:r>
      <w:r w:rsidR="001B75B3">
        <w:rPr>
          <w:rFonts w:asciiTheme="minorHAnsi" w:hAnsiTheme="minorHAnsi" w:cstheme="minorHAnsi"/>
          <w:lang w:eastAsia="en-US"/>
        </w:rPr>
        <w:t>, tendo sido i</w:t>
      </w:r>
      <w:r w:rsidR="007371FF">
        <w:rPr>
          <w:rFonts w:asciiTheme="minorHAnsi" w:hAnsiTheme="minorHAnsi" w:cstheme="minorHAnsi"/>
          <w:lang w:eastAsia="en-US"/>
        </w:rPr>
        <w:t>nici</w:t>
      </w:r>
      <w:r w:rsidR="001B75B3">
        <w:rPr>
          <w:rFonts w:asciiTheme="minorHAnsi" w:hAnsiTheme="minorHAnsi" w:cstheme="minorHAnsi"/>
          <w:lang w:eastAsia="en-US"/>
        </w:rPr>
        <w:t>ada</w:t>
      </w:r>
      <w:r w:rsidR="00232796">
        <w:rPr>
          <w:rFonts w:asciiTheme="minorHAnsi" w:hAnsiTheme="minorHAnsi" w:cstheme="minorHAnsi"/>
          <w:lang w:eastAsia="en-US"/>
        </w:rPr>
        <w:t xml:space="preserve"> a produção de energia através de placas solares.</w:t>
      </w:r>
    </w:p>
    <w:p w:rsidR="001B75B3" w:rsidRDefault="00104AB3" w:rsidP="002E5802">
      <w:pPr>
        <w:shd w:val="clear" w:color="auto" w:fill="FFFFFF"/>
        <w:spacing w:before="360" w:after="360"/>
        <w:jc w:val="both"/>
        <w:rPr>
          <w:rFonts w:asciiTheme="minorHAnsi" w:hAnsiTheme="minorHAnsi" w:cstheme="minorHAnsi"/>
          <w:lang w:eastAsia="en-US"/>
        </w:rPr>
      </w:pPr>
      <w:r>
        <w:rPr>
          <w:rFonts w:asciiTheme="minorHAnsi" w:hAnsiTheme="minorHAnsi" w:cstheme="minorHAnsi"/>
          <w:lang w:eastAsia="en-US"/>
        </w:rPr>
        <w:t>Em 2021, continuaremos a trabalhar para reforçar a ligação com a Sociedade.</w:t>
      </w:r>
    </w:p>
    <w:p w:rsidR="00FF515F" w:rsidRDefault="00167C03" w:rsidP="00232796">
      <w:pPr>
        <w:pStyle w:val="NormalWeb"/>
        <w:spacing w:before="120" w:after="120"/>
        <w:rPr>
          <w:rFonts w:asciiTheme="minorHAnsi" w:hAnsiTheme="minorHAnsi" w:cstheme="minorHAnsi"/>
          <w:b/>
          <w:lang w:eastAsia="en-US"/>
        </w:rPr>
      </w:pPr>
      <w:r>
        <w:rPr>
          <w:rFonts w:asciiTheme="minorHAnsi" w:hAnsiTheme="minorHAnsi" w:cstheme="minorHAnsi"/>
          <w:b/>
          <w:lang w:eastAsia="en-US"/>
        </w:rPr>
        <w:lastRenderedPageBreak/>
        <w:t>4</w:t>
      </w:r>
      <w:r w:rsidR="00FF515F">
        <w:rPr>
          <w:rFonts w:asciiTheme="minorHAnsi" w:hAnsiTheme="minorHAnsi" w:cstheme="minorHAnsi"/>
          <w:b/>
          <w:lang w:eastAsia="en-US"/>
        </w:rPr>
        <w:t xml:space="preserve">.º </w:t>
      </w:r>
      <w:r w:rsidR="00232796" w:rsidRPr="00AC03AF">
        <w:rPr>
          <w:rFonts w:asciiTheme="minorHAnsi" w:hAnsiTheme="minorHAnsi" w:cstheme="minorHAnsi"/>
          <w:b/>
          <w:lang w:eastAsia="en-US"/>
        </w:rPr>
        <w:t>Objetivo estratégico</w:t>
      </w:r>
      <w:r w:rsidR="00FF515F">
        <w:rPr>
          <w:rFonts w:asciiTheme="minorHAnsi" w:hAnsiTheme="minorHAnsi" w:cstheme="minorHAnsi"/>
          <w:b/>
          <w:lang w:eastAsia="en-US"/>
        </w:rPr>
        <w:t xml:space="preserve"> (relativo à Governança)</w:t>
      </w:r>
    </w:p>
    <w:p w:rsidR="00232796" w:rsidRPr="00AC03AF" w:rsidRDefault="00232796" w:rsidP="00232796">
      <w:pPr>
        <w:pStyle w:val="NormalWeb"/>
        <w:spacing w:before="120" w:after="120"/>
        <w:rPr>
          <w:rFonts w:asciiTheme="minorHAnsi" w:hAnsiTheme="minorHAnsi" w:cstheme="minorHAnsi"/>
          <w:b/>
          <w:lang w:eastAsia="en-US"/>
        </w:rPr>
      </w:pPr>
      <w:r w:rsidRPr="00AC03AF">
        <w:rPr>
          <w:rFonts w:asciiTheme="minorHAnsi" w:hAnsiTheme="minorHAnsi" w:cstheme="minorHAnsi"/>
          <w:b/>
          <w:lang w:eastAsia="en-US"/>
        </w:rPr>
        <w:t xml:space="preserve">Aumentar o grau de satisfação dos </w:t>
      </w:r>
      <w:r w:rsidRPr="00AC03AF">
        <w:rPr>
          <w:rFonts w:asciiTheme="minorHAnsi" w:hAnsiTheme="minorHAnsi" w:cstheme="minorHAnsi"/>
          <w:b/>
          <w:i/>
          <w:lang w:eastAsia="en-US"/>
        </w:rPr>
        <w:t>stakeholders</w:t>
      </w:r>
    </w:p>
    <w:p w:rsidR="00232796" w:rsidRDefault="00232796" w:rsidP="00232796">
      <w:pPr>
        <w:pStyle w:val="NormalWeb"/>
        <w:spacing w:before="120" w:after="120"/>
        <w:jc w:val="both"/>
        <w:rPr>
          <w:rFonts w:asciiTheme="minorHAnsi" w:hAnsiTheme="minorHAnsi" w:cstheme="minorHAnsi"/>
          <w:highlight w:val="yellow"/>
          <w:lang w:eastAsia="en-US"/>
        </w:rPr>
      </w:pPr>
    </w:p>
    <w:p w:rsidR="00104AB3" w:rsidRDefault="00104AB3" w:rsidP="004110F8">
      <w:pPr>
        <w:jc w:val="both"/>
        <w:rPr>
          <w:rFonts w:ascii="Calibri" w:eastAsia="Times New Roman" w:hAnsi="Calibri" w:cs="Calibri"/>
          <w:color w:val="000000"/>
        </w:rPr>
      </w:pPr>
      <w:r>
        <w:rPr>
          <w:rFonts w:ascii="Calibri" w:eastAsia="Times New Roman" w:hAnsi="Calibri" w:cs="Calibri"/>
          <w:color w:val="000000"/>
        </w:rPr>
        <w:t xml:space="preserve">No passado mês de maio, o Conselho de Administração da Agência de </w:t>
      </w:r>
      <w:r w:rsidR="00B5329D">
        <w:rPr>
          <w:rFonts w:ascii="Calibri" w:eastAsia="Times New Roman" w:hAnsi="Calibri" w:cs="Calibri"/>
          <w:color w:val="000000"/>
        </w:rPr>
        <w:t xml:space="preserve">Avaliação e Acreditação do Ensino Superior certificou, sem condições, o Sistema Interno de Garantia da Qualidade da Universidade do Algarve. </w:t>
      </w:r>
    </w:p>
    <w:p w:rsidR="00B5329D" w:rsidRDefault="00B5329D" w:rsidP="00104AB3">
      <w:pPr>
        <w:rPr>
          <w:rFonts w:ascii="Calibri" w:eastAsia="Times New Roman" w:hAnsi="Calibri" w:cs="Calibri"/>
          <w:color w:val="000000"/>
        </w:rPr>
      </w:pPr>
    </w:p>
    <w:p w:rsidR="00B5329D" w:rsidRPr="00B5329D" w:rsidRDefault="00B5329D" w:rsidP="004110F8">
      <w:pPr>
        <w:jc w:val="both"/>
        <w:rPr>
          <w:rFonts w:ascii="Calibri" w:eastAsia="Times New Roman" w:hAnsi="Calibri" w:cs="Calibri"/>
          <w:color w:val="000000"/>
        </w:rPr>
      </w:pPr>
      <w:r w:rsidRPr="00B5329D">
        <w:rPr>
          <w:rFonts w:ascii="Calibri" w:eastAsia="Times New Roman" w:hAnsi="Calibri" w:cs="Calibri"/>
          <w:color w:val="000000"/>
        </w:rPr>
        <w:t>O Sistema Interno de Garantia da Qualidade tem como função garantir a qualidade e melhoria contínua da Instituição, no âmbito de cada uma das vertentes nucleares da sua missão e das áreas transversais que as supo</w:t>
      </w:r>
      <w:r w:rsidR="004110F8">
        <w:rPr>
          <w:rFonts w:ascii="Calibri" w:eastAsia="Times New Roman" w:hAnsi="Calibri" w:cs="Calibri"/>
          <w:color w:val="000000"/>
        </w:rPr>
        <w:t>rtam: o ensino e a aprendizagem;</w:t>
      </w:r>
      <w:r w:rsidRPr="00B5329D">
        <w:rPr>
          <w:rFonts w:ascii="Calibri" w:eastAsia="Times New Roman" w:hAnsi="Calibri" w:cs="Calibri"/>
          <w:color w:val="000000"/>
        </w:rPr>
        <w:t xml:space="preserve"> a investigação e o desenvolvimento</w:t>
      </w:r>
      <w:r w:rsidR="004110F8">
        <w:rPr>
          <w:rFonts w:ascii="Calibri" w:eastAsia="Times New Roman" w:hAnsi="Calibri" w:cs="Calibri"/>
          <w:color w:val="000000"/>
        </w:rPr>
        <w:t>;</w:t>
      </w:r>
      <w:r w:rsidRPr="00B5329D">
        <w:rPr>
          <w:rFonts w:ascii="Calibri" w:eastAsia="Times New Roman" w:hAnsi="Calibri" w:cs="Calibri"/>
          <w:color w:val="000000"/>
        </w:rPr>
        <w:t xml:space="preserve"> a colaboração interinstitucional e com a com</w:t>
      </w:r>
      <w:r w:rsidR="004110F8">
        <w:rPr>
          <w:rFonts w:ascii="Calibri" w:eastAsia="Times New Roman" w:hAnsi="Calibri" w:cs="Calibri"/>
          <w:color w:val="000000"/>
        </w:rPr>
        <w:t>unidade; a internacionalização;</w:t>
      </w:r>
      <w:r w:rsidRPr="00B5329D">
        <w:rPr>
          <w:rFonts w:ascii="Calibri" w:eastAsia="Times New Roman" w:hAnsi="Calibri" w:cs="Calibri"/>
          <w:color w:val="000000"/>
        </w:rPr>
        <w:t xml:space="preserve"> as políticas de gestão do pessoal</w:t>
      </w:r>
      <w:r w:rsidR="004110F8">
        <w:rPr>
          <w:rFonts w:ascii="Calibri" w:eastAsia="Times New Roman" w:hAnsi="Calibri" w:cs="Calibri"/>
          <w:color w:val="000000"/>
        </w:rPr>
        <w:t>;</w:t>
      </w:r>
      <w:r w:rsidRPr="00B5329D">
        <w:rPr>
          <w:rFonts w:ascii="Calibri" w:eastAsia="Times New Roman" w:hAnsi="Calibri" w:cs="Calibri"/>
          <w:color w:val="000000"/>
        </w:rPr>
        <w:t xml:space="preserve"> e os serviços de apoio.</w:t>
      </w:r>
    </w:p>
    <w:p w:rsidR="00B5329D" w:rsidRDefault="00B5329D" w:rsidP="00104AB3">
      <w:pPr>
        <w:rPr>
          <w:rFonts w:ascii="Calibri" w:eastAsia="Times New Roman" w:hAnsi="Calibri" w:cs="Calibri"/>
          <w:color w:val="000000"/>
        </w:rPr>
      </w:pPr>
    </w:p>
    <w:p w:rsidR="00B5329D" w:rsidRDefault="004110F8" w:rsidP="004110F8">
      <w:pPr>
        <w:jc w:val="both"/>
        <w:rPr>
          <w:rFonts w:ascii="Calibri" w:eastAsia="Times New Roman" w:hAnsi="Calibri" w:cs="Calibri"/>
          <w:color w:val="000000"/>
        </w:rPr>
      </w:pPr>
      <w:r>
        <w:rPr>
          <w:rFonts w:ascii="Calibri" w:eastAsia="Times New Roman" w:hAnsi="Calibri" w:cs="Calibri"/>
          <w:color w:val="000000"/>
        </w:rPr>
        <w:t xml:space="preserve">A certificação obtida é do maior significado e </w:t>
      </w:r>
      <w:r w:rsidR="00B5329D" w:rsidRPr="00B5329D">
        <w:rPr>
          <w:rFonts w:ascii="Calibri" w:eastAsia="Times New Roman" w:hAnsi="Calibri" w:cs="Calibri"/>
          <w:color w:val="000000"/>
        </w:rPr>
        <w:t>reconhe</w:t>
      </w:r>
      <w:r>
        <w:rPr>
          <w:rFonts w:ascii="Calibri" w:eastAsia="Times New Roman" w:hAnsi="Calibri" w:cs="Calibri"/>
          <w:color w:val="000000"/>
        </w:rPr>
        <w:t xml:space="preserve">ce </w:t>
      </w:r>
      <w:r w:rsidR="00B5329D" w:rsidRPr="00B5329D">
        <w:rPr>
          <w:rFonts w:ascii="Calibri" w:eastAsia="Times New Roman" w:hAnsi="Calibri" w:cs="Calibri"/>
          <w:color w:val="000000"/>
        </w:rPr>
        <w:t>o compromisso de toda a Comunidade Académica com a qualidade e melhoria contínua do desempenho da Instituição em todas as vertentes da sua missão</w:t>
      </w:r>
      <w:r w:rsidR="007F36C2">
        <w:rPr>
          <w:rFonts w:ascii="Calibri" w:eastAsia="Times New Roman" w:hAnsi="Calibri" w:cs="Calibri"/>
          <w:color w:val="000000"/>
        </w:rPr>
        <w:t>, com natural tradução nos níveis de satisfação.</w:t>
      </w:r>
    </w:p>
    <w:p w:rsidR="00104AB3" w:rsidRDefault="00104AB3" w:rsidP="00104AB3">
      <w:pPr>
        <w:rPr>
          <w:rFonts w:ascii="Calibri" w:eastAsia="Times New Roman" w:hAnsi="Calibri" w:cs="Calibri"/>
          <w:color w:val="000000"/>
        </w:rPr>
      </w:pPr>
    </w:p>
    <w:p w:rsidR="00B5329D" w:rsidRDefault="00B5329D" w:rsidP="00104AB3">
      <w:pPr>
        <w:rPr>
          <w:rFonts w:ascii="Calibri" w:eastAsia="Times New Roman" w:hAnsi="Calibri" w:cs="Calibri"/>
          <w:color w:val="000000"/>
        </w:rPr>
      </w:pPr>
    </w:p>
    <w:p w:rsidR="000E6934" w:rsidRDefault="000E6934" w:rsidP="00B2381D">
      <w:pPr>
        <w:jc w:val="both"/>
        <w:rPr>
          <w:rFonts w:ascii="Calibri" w:eastAsia="Times New Roman" w:hAnsi="Calibri" w:cs="Calibri"/>
          <w:color w:val="000000"/>
        </w:rPr>
      </w:pPr>
      <w:r>
        <w:rPr>
          <w:rFonts w:ascii="Calibri" w:eastAsia="Times New Roman" w:hAnsi="Calibri" w:cs="Calibri"/>
          <w:color w:val="000000"/>
        </w:rPr>
        <w:t>Foi dada</w:t>
      </w:r>
      <w:r w:rsidR="006475D4">
        <w:rPr>
          <w:rFonts w:ascii="Calibri" w:eastAsia="Times New Roman" w:hAnsi="Calibri" w:cs="Calibri"/>
          <w:color w:val="000000"/>
        </w:rPr>
        <w:t xml:space="preserve"> continuidade à melhoria dos espaços </w:t>
      </w:r>
      <w:r>
        <w:rPr>
          <w:rFonts w:ascii="Calibri" w:eastAsia="Times New Roman" w:hAnsi="Calibri" w:cs="Calibri"/>
          <w:color w:val="000000"/>
        </w:rPr>
        <w:t>de funcionamento dos S</w:t>
      </w:r>
      <w:r w:rsidR="006475D4">
        <w:rPr>
          <w:rFonts w:ascii="Calibri" w:eastAsia="Times New Roman" w:hAnsi="Calibri" w:cs="Calibri"/>
          <w:color w:val="000000"/>
        </w:rPr>
        <w:t>erviços</w:t>
      </w:r>
      <w:r>
        <w:rPr>
          <w:rFonts w:ascii="Calibri" w:eastAsia="Times New Roman" w:hAnsi="Calibri" w:cs="Calibri"/>
          <w:color w:val="000000"/>
        </w:rPr>
        <w:t xml:space="preserve"> Académicos</w:t>
      </w:r>
      <w:r w:rsidR="006475D4">
        <w:rPr>
          <w:rFonts w:ascii="Calibri" w:eastAsia="Times New Roman" w:hAnsi="Calibri" w:cs="Calibri"/>
          <w:color w:val="000000"/>
        </w:rPr>
        <w:t>,</w:t>
      </w:r>
      <w:r>
        <w:rPr>
          <w:rFonts w:ascii="Calibri" w:eastAsia="Times New Roman" w:hAnsi="Calibri" w:cs="Calibri"/>
          <w:color w:val="000000"/>
        </w:rPr>
        <w:t xml:space="preserve"> com uma intervenção no Campus da Penha, que envolveu troca de esp</w:t>
      </w:r>
      <w:r w:rsidR="00B2381D">
        <w:rPr>
          <w:rFonts w:ascii="Calibri" w:eastAsia="Times New Roman" w:hAnsi="Calibri" w:cs="Calibri"/>
          <w:color w:val="000000"/>
        </w:rPr>
        <w:t xml:space="preserve">aços com a Associação Académica, a quem foi também atribuída a utilização de local onde funcionou </w:t>
      </w:r>
      <w:r w:rsidR="0006496B">
        <w:rPr>
          <w:rFonts w:ascii="Calibri" w:eastAsia="Times New Roman" w:hAnsi="Calibri" w:cs="Calibri"/>
          <w:color w:val="000000"/>
        </w:rPr>
        <w:t xml:space="preserve">a </w:t>
      </w:r>
      <w:r w:rsidR="00B2381D">
        <w:rPr>
          <w:rFonts w:ascii="Calibri" w:eastAsia="Times New Roman" w:hAnsi="Calibri" w:cs="Calibri"/>
          <w:color w:val="000000"/>
        </w:rPr>
        <w:t>agência da CGD.</w:t>
      </w:r>
      <w:r w:rsidR="00B23F18">
        <w:rPr>
          <w:rFonts w:ascii="Calibri" w:eastAsia="Times New Roman" w:hAnsi="Calibri" w:cs="Calibri"/>
          <w:color w:val="000000"/>
        </w:rPr>
        <w:t xml:space="preserve"> No C</w:t>
      </w:r>
      <w:r w:rsidR="00B2381D">
        <w:rPr>
          <w:rFonts w:ascii="Calibri" w:eastAsia="Times New Roman" w:hAnsi="Calibri" w:cs="Calibri"/>
          <w:color w:val="000000"/>
        </w:rPr>
        <w:t xml:space="preserve">ampus de Gambelas, até </w:t>
      </w:r>
      <w:r w:rsidR="00B23F18">
        <w:rPr>
          <w:rFonts w:ascii="Calibri" w:eastAsia="Times New Roman" w:hAnsi="Calibri" w:cs="Calibri"/>
          <w:color w:val="000000"/>
        </w:rPr>
        <w:t>ao final do ano, serão concluídas as obras em curso para melhoria das acessibilidades ao Balcão do Estudante.</w:t>
      </w:r>
      <w:r w:rsidR="00B2381D">
        <w:rPr>
          <w:rFonts w:ascii="Calibri" w:eastAsia="Times New Roman" w:hAnsi="Calibri" w:cs="Calibri"/>
          <w:color w:val="000000"/>
        </w:rPr>
        <w:t xml:space="preserve"> </w:t>
      </w:r>
    </w:p>
    <w:p w:rsidR="004F6A42" w:rsidRDefault="004F6A42" w:rsidP="00B2381D">
      <w:pPr>
        <w:jc w:val="both"/>
        <w:rPr>
          <w:rFonts w:ascii="Calibri" w:eastAsia="Times New Roman" w:hAnsi="Calibri" w:cs="Calibri"/>
          <w:color w:val="000000"/>
        </w:rPr>
      </w:pPr>
    </w:p>
    <w:p w:rsidR="00F22A43" w:rsidRDefault="004F6A42" w:rsidP="00F22A43">
      <w:pPr>
        <w:jc w:val="both"/>
        <w:rPr>
          <w:rFonts w:ascii="Calibri" w:eastAsia="Times New Roman" w:hAnsi="Calibri" w:cs="Calibri"/>
          <w:color w:val="000000"/>
        </w:rPr>
      </w:pPr>
      <w:r>
        <w:rPr>
          <w:rFonts w:ascii="Calibri" w:eastAsia="Times New Roman" w:hAnsi="Calibri" w:cs="Calibri"/>
          <w:color w:val="000000"/>
        </w:rPr>
        <w:t>A consolidação da UAlgnet, a nossa intranet, e o lançamento do novo portal da UAlg permitiram e permitirão reforçar a comunicação interna e externa</w:t>
      </w:r>
      <w:r w:rsidR="00F22A43">
        <w:rPr>
          <w:rFonts w:ascii="Calibri" w:eastAsia="Times New Roman" w:hAnsi="Calibri" w:cs="Calibri"/>
          <w:color w:val="000000"/>
        </w:rPr>
        <w:t xml:space="preserve">. Continuam em curso desenvolvimentos para uma maior integração de processos, </w:t>
      </w:r>
      <w:r w:rsidR="00167C03">
        <w:rPr>
          <w:rFonts w:ascii="Calibri" w:eastAsia="Times New Roman" w:hAnsi="Calibri" w:cs="Calibri"/>
          <w:color w:val="000000"/>
        </w:rPr>
        <w:t xml:space="preserve">nomeadamente na área dos projetos, </w:t>
      </w:r>
      <w:r w:rsidR="0006496B">
        <w:rPr>
          <w:rFonts w:ascii="Calibri" w:eastAsia="Times New Roman" w:hAnsi="Calibri" w:cs="Calibri"/>
          <w:color w:val="000000"/>
        </w:rPr>
        <w:t xml:space="preserve">envolvendo </w:t>
      </w:r>
      <w:r w:rsidR="00F22A43">
        <w:rPr>
          <w:rFonts w:ascii="Calibri" w:eastAsia="Times New Roman" w:hAnsi="Calibri" w:cs="Calibri"/>
          <w:color w:val="000000"/>
        </w:rPr>
        <w:t>dif</w:t>
      </w:r>
      <w:r w:rsidR="00D3705D">
        <w:rPr>
          <w:rFonts w:ascii="Calibri" w:eastAsia="Times New Roman" w:hAnsi="Calibri" w:cs="Calibri"/>
          <w:color w:val="000000"/>
        </w:rPr>
        <w:t>erentes plataformas existentes, que contribuirão para o aumento dos níveis de eficiência e</w:t>
      </w:r>
      <w:r w:rsidR="0006496B">
        <w:rPr>
          <w:rFonts w:ascii="Calibri" w:eastAsia="Times New Roman" w:hAnsi="Calibri" w:cs="Calibri"/>
          <w:color w:val="000000"/>
        </w:rPr>
        <w:t>, também,</w:t>
      </w:r>
      <w:r w:rsidR="00D3705D">
        <w:rPr>
          <w:rFonts w:ascii="Calibri" w:eastAsia="Times New Roman" w:hAnsi="Calibri" w:cs="Calibri"/>
          <w:color w:val="000000"/>
        </w:rPr>
        <w:t xml:space="preserve"> de satisfação.</w:t>
      </w:r>
      <w:r w:rsidR="00167C03">
        <w:rPr>
          <w:rFonts w:ascii="Calibri" w:eastAsia="Times New Roman" w:hAnsi="Calibri" w:cs="Calibri"/>
          <w:color w:val="000000"/>
        </w:rPr>
        <w:t xml:space="preserve"> </w:t>
      </w:r>
    </w:p>
    <w:p w:rsidR="00D3705D" w:rsidRDefault="00D3705D" w:rsidP="00F22A43">
      <w:pPr>
        <w:jc w:val="both"/>
        <w:rPr>
          <w:rFonts w:ascii="Calibri" w:eastAsia="Times New Roman" w:hAnsi="Calibri" w:cs="Calibri"/>
          <w:color w:val="000000"/>
        </w:rPr>
      </w:pPr>
    </w:p>
    <w:p w:rsidR="003B67A0" w:rsidRDefault="003B67A0" w:rsidP="00F22A43">
      <w:pPr>
        <w:jc w:val="both"/>
        <w:rPr>
          <w:rFonts w:ascii="Calibri" w:eastAsia="Times New Roman" w:hAnsi="Calibri" w:cs="Calibri"/>
          <w:color w:val="000000"/>
        </w:rPr>
      </w:pPr>
    </w:p>
    <w:p w:rsidR="00D3705D" w:rsidRDefault="00B66F9A" w:rsidP="00F22A43">
      <w:pPr>
        <w:jc w:val="both"/>
        <w:rPr>
          <w:rFonts w:ascii="Calibri" w:eastAsia="Times New Roman" w:hAnsi="Calibri" w:cs="Calibri"/>
          <w:color w:val="000000"/>
        </w:rPr>
      </w:pPr>
      <w:r>
        <w:rPr>
          <w:rFonts w:ascii="Calibri" w:eastAsia="Times New Roman" w:hAnsi="Calibri" w:cs="Calibri"/>
          <w:color w:val="000000"/>
        </w:rPr>
        <w:t>O plano de atividades para 2021 já foi submetido ao Conselho Geral, assim como uma proposta de alteração dos Estatutos da Universidade, estando quase concluída a revisão do Regulamento Orgânico dos Serviços.</w:t>
      </w:r>
    </w:p>
    <w:p w:rsidR="00B66F9A" w:rsidRDefault="00B66F9A" w:rsidP="00F22A43">
      <w:pPr>
        <w:jc w:val="both"/>
        <w:rPr>
          <w:rFonts w:ascii="Calibri" w:eastAsia="Times New Roman" w:hAnsi="Calibri" w:cs="Calibri"/>
          <w:color w:val="000000"/>
        </w:rPr>
      </w:pPr>
    </w:p>
    <w:p w:rsidR="003B67A0" w:rsidRDefault="003B67A0" w:rsidP="00F22A43">
      <w:pPr>
        <w:jc w:val="both"/>
        <w:rPr>
          <w:rFonts w:ascii="Calibri" w:eastAsia="Times New Roman" w:hAnsi="Calibri" w:cs="Calibri"/>
          <w:color w:val="000000"/>
        </w:rPr>
      </w:pPr>
    </w:p>
    <w:p w:rsidR="00B66F9A" w:rsidRDefault="003B67A0" w:rsidP="00F22A43">
      <w:pPr>
        <w:jc w:val="both"/>
        <w:rPr>
          <w:rFonts w:ascii="Calibri" w:eastAsia="Times New Roman" w:hAnsi="Calibri" w:cs="Calibri"/>
          <w:color w:val="000000"/>
        </w:rPr>
      </w:pPr>
      <w:r>
        <w:rPr>
          <w:rFonts w:ascii="Calibri" w:eastAsia="Times New Roman" w:hAnsi="Calibri" w:cs="Calibri"/>
          <w:color w:val="000000"/>
        </w:rPr>
        <w:t>O</w:t>
      </w:r>
      <w:r w:rsidR="00B66F9A">
        <w:rPr>
          <w:rFonts w:ascii="Calibri" w:eastAsia="Times New Roman" w:hAnsi="Calibri" w:cs="Calibri"/>
          <w:color w:val="000000"/>
        </w:rPr>
        <w:t xml:space="preserve"> exercício da Governança é realizado por pessoas</w:t>
      </w:r>
      <w:r>
        <w:rPr>
          <w:rFonts w:ascii="Calibri" w:eastAsia="Times New Roman" w:hAnsi="Calibri" w:cs="Calibri"/>
          <w:color w:val="000000"/>
        </w:rPr>
        <w:t xml:space="preserve"> e para pessoas, sendo fortemente condicionado pela disponibilidade de recursos financeiros. A evolução da nossa </w:t>
      </w:r>
      <w:r w:rsidR="00942AFC">
        <w:rPr>
          <w:rFonts w:ascii="Calibri" w:eastAsia="Times New Roman" w:hAnsi="Calibri" w:cs="Calibri"/>
          <w:color w:val="000000"/>
        </w:rPr>
        <w:t xml:space="preserve">situação </w:t>
      </w:r>
      <w:r>
        <w:rPr>
          <w:rFonts w:ascii="Calibri" w:eastAsia="Times New Roman" w:hAnsi="Calibri" w:cs="Calibri"/>
          <w:color w:val="000000"/>
        </w:rPr>
        <w:t xml:space="preserve">financeira é pública. </w:t>
      </w:r>
      <w:r w:rsidR="009C4DBE">
        <w:rPr>
          <w:rFonts w:ascii="Calibri" w:eastAsia="Times New Roman" w:hAnsi="Calibri" w:cs="Calibri"/>
          <w:color w:val="000000"/>
        </w:rPr>
        <w:t>Os relatórios de gestão relativos aos anos de 2010 a 2019 encontram-se disponíveis no nosso portal.</w:t>
      </w:r>
      <w:r w:rsidR="00663668">
        <w:rPr>
          <w:rFonts w:ascii="Calibri" w:eastAsia="Times New Roman" w:hAnsi="Calibri" w:cs="Calibri"/>
          <w:color w:val="000000"/>
        </w:rPr>
        <w:t xml:space="preserve"> Desde 2015 que não transitamos saldo</w:t>
      </w:r>
      <w:r w:rsidR="00191228">
        <w:rPr>
          <w:rFonts w:ascii="Calibri" w:eastAsia="Times New Roman" w:hAnsi="Calibri" w:cs="Calibri"/>
          <w:color w:val="000000"/>
        </w:rPr>
        <w:t xml:space="preserve"> e necessitámos de reforços extraordinários em 2016 e em 201</w:t>
      </w:r>
      <w:r w:rsidR="0033398C">
        <w:rPr>
          <w:rFonts w:ascii="Calibri" w:eastAsia="Times New Roman" w:hAnsi="Calibri" w:cs="Calibri"/>
          <w:color w:val="000000"/>
        </w:rPr>
        <w:t xml:space="preserve">8. Em 2020, atingiremos o valor de execução orçamental mais elevado dos últimos 10 anos, ultrapassando os 56 milhões de euros, representando um crescimento superior </w:t>
      </w:r>
      <w:r w:rsidR="00942AFC">
        <w:rPr>
          <w:rFonts w:ascii="Calibri" w:eastAsia="Times New Roman" w:hAnsi="Calibri" w:cs="Calibri"/>
          <w:color w:val="000000"/>
        </w:rPr>
        <w:t>a 3% face ao ano anterior.</w:t>
      </w:r>
      <w:r w:rsidR="001137FD">
        <w:rPr>
          <w:rFonts w:ascii="Calibri" w:eastAsia="Times New Roman" w:hAnsi="Calibri" w:cs="Calibri"/>
          <w:color w:val="000000"/>
        </w:rPr>
        <w:t xml:space="preserve"> </w:t>
      </w:r>
    </w:p>
    <w:p w:rsidR="00942AFC" w:rsidRDefault="00942AFC" w:rsidP="00F22A43">
      <w:pPr>
        <w:jc w:val="both"/>
        <w:rPr>
          <w:rFonts w:ascii="Calibri" w:eastAsia="Times New Roman" w:hAnsi="Calibri" w:cs="Calibri"/>
          <w:color w:val="000000"/>
        </w:rPr>
      </w:pPr>
    </w:p>
    <w:p w:rsidR="000B0386" w:rsidRDefault="001137FD" w:rsidP="00F22A43">
      <w:pPr>
        <w:jc w:val="both"/>
        <w:rPr>
          <w:rFonts w:ascii="Calibri" w:eastAsia="Times New Roman" w:hAnsi="Calibri" w:cs="Calibri"/>
          <w:color w:val="000000"/>
        </w:rPr>
      </w:pPr>
      <w:r>
        <w:rPr>
          <w:rFonts w:ascii="Calibri" w:eastAsia="Times New Roman" w:hAnsi="Calibri" w:cs="Calibri"/>
          <w:color w:val="000000"/>
        </w:rPr>
        <w:lastRenderedPageBreak/>
        <w:t>Embora a situação permaneça frágil, os resultados alcançados most</w:t>
      </w:r>
      <w:r w:rsidR="00DE6725">
        <w:rPr>
          <w:rFonts w:ascii="Calibri" w:eastAsia="Times New Roman" w:hAnsi="Calibri" w:cs="Calibri"/>
          <w:color w:val="000000"/>
        </w:rPr>
        <w:t xml:space="preserve">ram que temos vindo a melhorar, </w:t>
      </w:r>
      <w:r w:rsidR="000B0386">
        <w:rPr>
          <w:rFonts w:ascii="Calibri" w:eastAsia="Times New Roman" w:hAnsi="Calibri" w:cs="Calibri"/>
          <w:color w:val="000000"/>
        </w:rPr>
        <w:t xml:space="preserve">que estamos no caminho certo. Um caminho </w:t>
      </w:r>
      <w:r w:rsidR="00DE6725">
        <w:rPr>
          <w:rFonts w:ascii="Calibri" w:eastAsia="Times New Roman" w:hAnsi="Calibri" w:cs="Calibri"/>
          <w:color w:val="000000"/>
        </w:rPr>
        <w:t xml:space="preserve">de mais rigor; mais atividade; mais eficiência. </w:t>
      </w:r>
    </w:p>
    <w:p w:rsidR="000B0386" w:rsidRDefault="000B0386" w:rsidP="00F22A43">
      <w:pPr>
        <w:jc w:val="both"/>
        <w:rPr>
          <w:rFonts w:ascii="Calibri" w:eastAsia="Times New Roman" w:hAnsi="Calibri" w:cs="Calibri"/>
          <w:color w:val="000000"/>
        </w:rPr>
      </w:pPr>
    </w:p>
    <w:p w:rsidR="008C190C" w:rsidRDefault="00DE6725" w:rsidP="00F22A43">
      <w:pPr>
        <w:jc w:val="both"/>
        <w:rPr>
          <w:rFonts w:ascii="Calibri" w:eastAsia="Times New Roman" w:hAnsi="Calibri" w:cs="Calibri"/>
          <w:color w:val="000000"/>
        </w:rPr>
      </w:pPr>
      <w:r>
        <w:rPr>
          <w:rFonts w:ascii="Calibri" w:eastAsia="Times New Roman" w:hAnsi="Calibri" w:cs="Calibri"/>
          <w:color w:val="000000"/>
        </w:rPr>
        <w:t>A responsabilidade e o mérito dos resultados é de todos.</w:t>
      </w:r>
      <w:r w:rsidR="008C190C">
        <w:rPr>
          <w:rFonts w:ascii="Calibri" w:eastAsia="Times New Roman" w:hAnsi="Calibri" w:cs="Calibri"/>
          <w:color w:val="000000"/>
        </w:rPr>
        <w:t xml:space="preserve"> </w:t>
      </w:r>
    </w:p>
    <w:p w:rsidR="008C190C" w:rsidRDefault="008C190C" w:rsidP="00F22A43">
      <w:pPr>
        <w:jc w:val="both"/>
        <w:rPr>
          <w:rFonts w:ascii="Calibri" w:eastAsia="Times New Roman" w:hAnsi="Calibri" w:cs="Calibri"/>
          <w:color w:val="000000"/>
        </w:rPr>
      </w:pPr>
    </w:p>
    <w:p w:rsidR="00DE6725" w:rsidRDefault="008C190C" w:rsidP="00F22A43">
      <w:pPr>
        <w:jc w:val="both"/>
        <w:rPr>
          <w:rFonts w:ascii="Calibri" w:eastAsia="Times New Roman" w:hAnsi="Calibri" w:cs="Calibri"/>
          <w:color w:val="000000"/>
        </w:rPr>
      </w:pPr>
      <w:r>
        <w:rPr>
          <w:rFonts w:ascii="Calibri" w:eastAsia="Times New Roman" w:hAnsi="Calibri" w:cs="Calibri"/>
          <w:color w:val="000000"/>
        </w:rPr>
        <w:t xml:space="preserve">E são estes resultados que nos permitem </w:t>
      </w:r>
      <w:r w:rsidR="00F64C94">
        <w:rPr>
          <w:rFonts w:ascii="Calibri" w:eastAsia="Times New Roman" w:hAnsi="Calibri" w:cs="Calibri"/>
          <w:color w:val="000000"/>
        </w:rPr>
        <w:t xml:space="preserve">agora </w:t>
      </w:r>
      <w:r>
        <w:rPr>
          <w:rFonts w:ascii="Calibri" w:eastAsia="Times New Roman" w:hAnsi="Calibri" w:cs="Calibri"/>
          <w:color w:val="000000"/>
        </w:rPr>
        <w:t xml:space="preserve">iniciar o processo para mais 9 mobilidades intercarreiras, sendo que prosseguem os esforços para a consolidação plena da </w:t>
      </w:r>
      <w:r w:rsidR="00F64C94">
        <w:rPr>
          <w:rFonts w:ascii="Calibri" w:eastAsia="Times New Roman" w:hAnsi="Calibri" w:cs="Calibri"/>
          <w:color w:val="000000"/>
        </w:rPr>
        <w:t>totalidade</w:t>
      </w:r>
      <w:r>
        <w:rPr>
          <w:rFonts w:ascii="Calibri" w:eastAsia="Times New Roman" w:hAnsi="Calibri" w:cs="Calibri"/>
          <w:color w:val="000000"/>
        </w:rPr>
        <w:t xml:space="preserve"> das 28 mobilidades interacarreiras realizadas em 2018 e em 2019.</w:t>
      </w:r>
    </w:p>
    <w:p w:rsidR="008C190C" w:rsidRDefault="008C190C"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 xml:space="preserve">E são estes resultados que nos permitiram cumprir a lei e contratar todos os trabalhadores precários regularizados no âmbito do PREVAP que manifestaram vontade </w:t>
      </w:r>
      <w:r w:rsidR="006B6F1D">
        <w:rPr>
          <w:rFonts w:ascii="Calibri" w:eastAsia="Times New Roman" w:hAnsi="Calibri" w:cs="Calibri"/>
          <w:color w:val="000000"/>
        </w:rPr>
        <w:t xml:space="preserve">em o fazer. </w:t>
      </w:r>
    </w:p>
    <w:p w:rsidR="006B6F1D" w:rsidRDefault="006B6F1D"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1 Assistente Operacional</w:t>
      </w:r>
    </w:p>
    <w:p w:rsidR="006B6F1D" w:rsidRDefault="006B6F1D"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2 Assistentes Técnicos</w:t>
      </w:r>
    </w:p>
    <w:p w:rsidR="006B6F1D" w:rsidRDefault="006B6F1D"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37 Técnicos Superiores</w:t>
      </w:r>
    </w:p>
    <w:p w:rsidR="006B6F1D" w:rsidRDefault="006B6F1D"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3 Especialistas de Informática</w:t>
      </w:r>
    </w:p>
    <w:p w:rsidR="006B6F1D" w:rsidRDefault="006B6F1D"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3 Investigadores Auxiliares</w:t>
      </w:r>
    </w:p>
    <w:p w:rsidR="006B6F1D" w:rsidRDefault="006B6F1D"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2 Professores</w:t>
      </w:r>
    </w:p>
    <w:p w:rsidR="00F64C94" w:rsidRDefault="00F64C94"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35 das 48 regularizações tiveram lugar em 2020</w:t>
      </w:r>
      <w:r w:rsidR="000B0386">
        <w:rPr>
          <w:rFonts w:ascii="Calibri" w:eastAsia="Times New Roman" w:hAnsi="Calibri" w:cs="Calibri"/>
          <w:color w:val="000000"/>
        </w:rPr>
        <w:t>,</w:t>
      </w:r>
    </w:p>
    <w:p w:rsidR="000B0386" w:rsidRDefault="000B0386"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E são estes resultados que permitiram</w:t>
      </w:r>
      <w:r w:rsidR="001C3CDD">
        <w:rPr>
          <w:rFonts w:ascii="Calibri" w:eastAsia="Times New Roman" w:hAnsi="Calibri" w:cs="Calibri"/>
          <w:color w:val="000000"/>
        </w:rPr>
        <w:t>, em 2020,</w:t>
      </w:r>
      <w:r>
        <w:rPr>
          <w:rFonts w:ascii="Calibri" w:eastAsia="Times New Roman" w:hAnsi="Calibri" w:cs="Calibri"/>
          <w:color w:val="000000"/>
        </w:rPr>
        <w:t xml:space="preserve"> a prog</w:t>
      </w:r>
      <w:r w:rsidR="009D0F6C">
        <w:rPr>
          <w:rFonts w:ascii="Calibri" w:eastAsia="Times New Roman" w:hAnsi="Calibri" w:cs="Calibri"/>
          <w:color w:val="000000"/>
        </w:rPr>
        <w:t>res</w:t>
      </w:r>
      <w:r w:rsidR="001C3CDD">
        <w:rPr>
          <w:rFonts w:ascii="Calibri" w:eastAsia="Times New Roman" w:hAnsi="Calibri" w:cs="Calibri"/>
          <w:color w:val="000000"/>
        </w:rPr>
        <w:t>são na carreira a 17 Professores</w:t>
      </w:r>
      <w:r>
        <w:rPr>
          <w:rFonts w:ascii="Calibri" w:eastAsia="Times New Roman" w:hAnsi="Calibri" w:cs="Calibri"/>
          <w:color w:val="000000"/>
        </w:rPr>
        <w:t xml:space="preserve">. Encontrando-se mais 11 </w:t>
      </w:r>
      <w:r w:rsidR="001C3CDD">
        <w:rPr>
          <w:rFonts w:ascii="Calibri" w:eastAsia="Times New Roman" w:hAnsi="Calibri" w:cs="Calibri"/>
          <w:color w:val="000000"/>
        </w:rPr>
        <w:t xml:space="preserve">concursos </w:t>
      </w:r>
      <w:r>
        <w:rPr>
          <w:rFonts w:ascii="Calibri" w:eastAsia="Times New Roman" w:hAnsi="Calibri" w:cs="Calibri"/>
          <w:color w:val="000000"/>
        </w:rPr>
        <w:t>autorizados</w:t>
      </w:r>
      <w:r w:rsidR="009D0F6C">
        <w:rPr>
          <w:rFonts w:ascii="Calibri" w:eastAsia="Times New Roman" w:hAnsi="Calibri" w:cs="Calibri"/>
          <w:color w:val="000000"/>
        </w:rPr>
        <w:t>, em fases processuais diferentes. Em janeiro de 2021, observado o cumprimento das metas contratualizadas com as UO relativas à evolução da massa salarial em 2020, poderá vir a ser autorizada a abertura de mais 20 concursos para posições não iniciais.</w:t>
      </w:r>
    </w:p>
    <w:p w:rsidR="00FB2E89" w:rsidRDefault="00FB2E89"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É este o caminho que, no curto prazo, não poderá conduzir a um aumento da massa salarial.</w:t>
      </w:r>
    </w:p>
    <w:p w:rsidR="00FB2E89" w:rsidRDefault="00FB2E89" w:rsidP="00232796">
      <w:pPr>
        <w:pStyle w:val="NormalWeb"/>
        <w:spacing w:before="120" w:after="120"/>
        <w:jc w:val="both"/>
        <w:rPr>
          <w:rFonts w:ascii="Calibri" w:eastAsia="Times New Roman" w:hAnsi="Calibri" w:cs="Calibri"/>
          <w:color w:val="000000"/>
        </w:rPr>
      </w:pPr>
    </w:p>
    <w:p w:rsidR="00FB2E89" w:rsidRDefault="003960F6"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Termino com um até sempre aos que</w:t>
      </w:r>
      <w:r w:rsidR="006F69CE">
        <w:rPr>
          <w:rFonts w:ascii="Calibri" w:eastAsia="Times New Roman" w:hAnsi="Calibri" w:cs="Calibri"/>
          <w:color w:val="000000"/>
        </w:rPr>
        <w:t>, demasiado cedo,</w:t>
      </w:r>
      <w:r>
        <w:rPr>
          <w:rFonts w:ascii="Calibri" w:eastAsia="Times New Roman" w:hAnsi="Calibri" w:cs="Calibri"/>
          <w:color w:val="000000"/>
        </w:rPr>
        <w:t xml:space="preserve"> nos deixaram mais sós:</w:t>
      </w:r>
    </w:p>
    <w:p w:rsidR="003960F6" w:rsidRDefault="003960F6"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 xml:space="preserve">Os estudantes Ana Paula Beja, </w:t>
      </w:r>
      <w:r w:rsidR="006F69CE">
        <w:rPr>
          <w:rFonts w:ascii="Calibri" w:eastAsia="Times New Roman" w:hAnsi="Calibri" w:cs="Calibri"/>
          <w:color w:val="000000"/>
        </w:rPr>
        <w:t>Bruna Madeira, Íris Lobo,</w:t>
      </w:r>
      <w:r w:rsidR="006F69CE">
        <w:rPr>
          <w:rFonts w:ascii="Calibri" w:eastAsia="Times New Roman" w:hAnsi="Calibri" w:cs="Calibri"/>
          <w:color w:val="000000"/>
        </w:rPr>
        <w:t xml:space="preserve"> </w:t>
      </w:r>
      <w:r w:rsidR="006F69CE">
        <w:rPr>
          <w:rFonts w:ascii="Calibri" w:eastAsia="Times New Roman" w:hAnsi="Calibri" w:cs="Calibri"/>
          <w:color w:val="000000"/>
        </w:rPr>
        <w:t>Pedro Paço</w:t>
      </w:r>
      <w:r w:rsidR="006F69CE">
        <w:rPr>
          <w:rFonts w:ascii="Calibri" w:eastAsia="Times New Roman" w:hAnsi="Calibri" w:cs="Calibri"/>
          <w:color w:val="000000"/>
        </w:rPr>
        <w:t xml:space="preserve"> e </w:t>
      </w:r>
      <w:r>
        <w:rPr>
          <w:rFonts w:ascii="Calibri" w:eastAsia="Times New Roman" w:hAnsi="Calibri" w:cs="Calibri"/>
          <w:color w:val="000000"/>
        </w:rPr>
        <w:t xml:space="preserve">Rui Queirós </w:t>
      </w:r>
    </w:p>
    <w:p w:rsidR="000415A5" w:rsidRDefault="000415A5"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A funcionária dos Serviços de Ação Social Lúcia Rodrigues</w:t>
      </w:r>
    </w:p>
    <w:p w:rsidR="003960F6" w:rsidRDefault="000415A5" w:rsidP="00232796">
      <w:pPr>
        <w:pStyle w:val="NormalWeb"/>
        <w:spacing w:before="120" w:after="120"/>
        <w:jc w:val="both"/>
        <w:rPr>
          <w:rFonts w:ascii="Calibri" w:eastAsia="Times New Roman" w:hAnsi="Calibri" w:cs="Calibri"/>
          <w:color w:val="000000"/>
        </w:rPr>
      </w:pPr>
      <w:r>
        <w:rPr>
          <w:rFonts w:ascii="Calibri" w:eastAsia="Times New Roman" w:hAnsi="Calibri" w:cs="Calibri"/>
          <w:color w:val="000000"/>
        </w:rPr>
        <w:t>E o Professor</w:t>
      </w:r>
      <w:r w:rsidR="003960F6">
        <w:rPr>
          <w:rFonts w:ascii="Calibri" w:eastAsia="Times New Roman" w:hAnsi="Calibri" w:cs="Calibri"/>
          <w:color w:val="000000"/>
        </w:rPr>
        <w:t xml:space="preserve"> </w:t>
      </w:r>
      <w:r>
        <w:rPr>
          <w:rFonts w:ascii="Calibri" w:eastAsia="Times New Roman" w:hAnsi="Calibri" w:cs="Calibri"/>
          <w:color w:val="000000"/>
        </w:rPr>
        <w:t>Paulo Felisberto</w:t>
      </w:r>
    </w:p>
    <w:p w:rsidR="000415A5" w:rsidRDefault="000415A5" w:rsidP="00232796">
      <w:pPr>
        <w:pStyle w:val="NormalWeb"/>
        <w:spacing w:before="120" w:after="120"/>
        <w:jc w:val="both"/>
        <w:rPr>
          <w:rFonts w:ascii="Calibri" w:eastAsia="Times New Roman" w:hAnsi="Calibri" w:cs="Calibri"/>
          <w:color w:val="000000"/>
        </w:rPr>
      </w:pPr>
    </w:p>
    <w:p w:rsidR="007E68AC" w:rsidRPr="006F69CE" w:rsidRDefault="000415A5" w:rsidP="006F69CE">
      <w:pPr>
        <w:pStyle w:val="NormalWeb"/>
        <w:spacing w:before="120" w:after="120"/>
        <w:jc w:val="both"/>
        <w:rPr>
          <w:rFonts w:ascii="Calibri" w:eastAsia="Times New Roman" w:hAnsi="Calibri" w:cs="Calibri"/>
          <w:color w:val="000000"/>
        </w:rPr>
      </w:pPr>
      <w:r w:rsidRPr="006F69CE">
        <w:rPr>
          <w:rFonts w:ascii="Calibri" w:eastAsia="Times New Roman" w:hAnsi="Calibri" w:cs="Calibri"/>
          <w:color w:val="000000"/>
        </w:rPr>
        <w:t>A todos, desejo que</w:t>
      </w:r>
      <w:bookmarkStart w:id="0" w:name="_GoBack"/>
      <w:bookmarkEnd w:id="0"/>
      <w:r w:rsidRPr="006F69CE">
        <w:rPr>
          <w:rFonts w:ascii="Calibri" w:eastAsia="Times New Roman" w:hAnsi="Calibri" w:cs="Calibri"/>
          <w:color w:val="000000"/>
        </w:rPr>
        <w:t xml:space="preserve"> o ano de 2021 seja melhor do que 2020. Sabemos que iremos começar bem pior do que há um ano atrás. Esperamos estar daqui a um ano com esperanças renovadas</w:t>
      </w:r>
      <w:r w:rsidR="00113F9C" w:rsidRPr="006F69CE">
        <w:rPr>
          <w:rFonts w:ascii="Calibri" w:eastAsia="Times New Roman" w:hAnsi="Calibri" w:cs="Calibri"/>
          <w:color w:val="000000"/>
        </w:rPr>
        <w:t xml:space="preserve">. Nas próximas semanas e meses o nosso comportamento individual continuará a ser de extrema importância </w:t>
      </w:r>
      <w:r w:rsidR="007E68AC" w:rsidRPr="006F69CE">
        <w:rPr>
          <w:rFonts w:ascii="Calibri" w:eastAsia="Times New Roman" w:hAnsi="Calibri" w:cs="Calibri"/>
          <w:color w:val="000000"/>
        </w:rPr>
        <w:t>para combater a pandemia.</w:t>
      </w:r>
    </w:p>
    <w:p w:rsidR="007E68AC" w:rsidRPr="006F69CE" w:rsidRDefault="007E68AC" w:rsidP="006F69CE">
      <w:pPr>
        <w:pStyle w:val="NormalWeb"/>
        <w:spacing w:before="120" w:after="120"/>
        <w:jc w:val="both"/>
        <w:rPr>
          <w:rFonts w:ascii="Calibri" w:eastAsia="Times New Roman" w:hAnsi="Calibri" w:cs="Calibri"/>
          <w:color w:val="000000"/>
        </w:rPr>
      </w:pPr>
    </w:p>
    <w:p w:rsidR="000415A5" w:rsidRPr="006F69CE" w:rsidRDefault="00113F9C" w:rsidP="006F69CE">
      <w:pPr>
        <w:pStyle w:val="NormalWeb"/>
        <w:spacing w:before="120" w:after="120"/>
        <w:jc w:val="both"/>
        <w:rPr>
          <w:rFonts w:ascii="Calibri" w:eastAsia="Times New Roman" w:hAnsi="Calibri" w:cs="Calibri"/>
          <w:color w:val="000000"/>
        </w:rPr>
      </w:pPr>
      <w:r w:rsidRPr="006F69CE">
        <w:rPr>
          <w:rFonts w:ascii="Calibri" w:eastAsia="Times New Roman" w:hAnsi="Calibri" w:cs="Calibri"/>
          <w:color w:val="000000"/>
        </w:rPr>
        <w:t>Votos de um Natal responsável!</w:t>
      </w:r>
    </w:p>
    <w:p w:rsidR="000415A5" w:rsidRDefault="000415A5" w:rsidP="006F69CE">
      <w:pPr>
        <w:pStyle w:val="NormalWeb"/>
        <w:spacing w:before="120" w:after="120"/>
        <w:jc w:val="both"/>
        <w:rPr>
          <w:rFonts w:ascii="Calibri" w:eastAsia="Times New Roman" w:hAnsi="Calibri" w:cs="Calibri"/>
          <w:color w:val="000000"/>
        </w:rPr>
      </w:pPr>
      <w:r w:rsidRPr="006F69CE">
        <w:rPr>
          <w:rFonts w:ascii="Calibri" w:eastAsia="Times New Roman" w:hAnsi="Calibri" w:cs="Calibri"/>
          <w:color w:val="000000"/>
        </w:rPr>
        <w:t>Viva à Universidade do Algarve! Viva!</w:t>
      </w:r>
    </w:p>
    <w:sectPr w:rsidR="000415A5" w:rsidSect="00A17A0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56" w:rsidRDefault="00FD5D56" w:rsidP="00BF67A2">
      <w:r>
        <w:separator/>
      </w:r>
    </w:p>
  </w:endnote>
  <w:endnote w:type="continuationSeparator" w:id="0">
    <w:p w:rsidR="00FD5D56" w:rsidRDefault="00FD5D56" w:rsidP="00BF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relo-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56" w:rsidRDefault="00FD5D56" w:rsidP="00BF67A2">
      <w:r>
        <w:separator/>
      </w:r>
    </w:p>
  </w:footnote>
  <w:footnote w:type="continuationSeparator" w:id="0">
    <w:p w:rsidR="00FD5D56" w:rsidRDefault="00FD5D56" w:rsidP="00BF6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E5976"/>
    <w:multiLevelType w:val="hybridMultilevel"/>
    <w:tmpl w:val="A47CAC50"/>
    <w:lvl w:ilvl="0" w:tplc="240C2BE6">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D0"/>
    <w:rsid w:val="00001CEB"/>
    <w:rsid w:val="000021D0"/>
    <w:rsid w:val="000130F2"/>
    <w:rsid w:val="000169AB"/>
    <w:rsid w:val="00027C82"/>
    <w:rsid w:val="0003237F"/>
    <w:rsid w:val="000338CC"/>
    <w:rsid w:val="00040E0E"/>
    <w:rsid w:val="000415A5"/>
    <w:rsid w:val="0006496B"/>
    <w:rsid w:val="000A6F33"/>
    <w:rsid w:val="000B0386"/>
    <w:rsid w:val="000B2D6A"/>
    <w:rsid w:val="000B499B"/>
    <w:rsid w:val="000C083B"/>
    <w:rsid w:val="000C4004"/>
    <w:rsid w:val="000D750A"/>
    <w:rsid w:val="000E3F05"/>
    <w:rsid w:val="000E58D2"/>
    <w:rsid w:val="000E6934"/>
    <w:rsid w:val="00104AB3"/>
    <w:rsid w:val="001137FD"/>
    <w:rsid w:val="00113F9C"/>
    <w:rsid w:val="0014421F"/>
    <w:rsid w:val="001460EA"/>
    <w:rsid w:val="001511F5"/>
    <w:rsid w:val="00152E7E"/>
    <w:rsid w:val="00167C03"/>
    <w:rsid w:val="00191228"/>
    <w:rsid w:val="00192B40"/>
    <w:rsid w:val="00196BB7"/>
    <w:rsid w:val="001A1F31"/>
    <w:rsid w:val="001A319B"/>
    <w:rsid w:val="001B4E11"/>
    <w:rsid w:val="001B75B3"/>
    <w:rsid w:val="001C207A"/>
    <w:rsid w:val="001C29FF"/>
    <w:rsid w:val="001C3CDD"/>
    <w:rsid w:val="001D13CF"/>
    <w:rsid w:val="001D2653"/>
    <w:rsid w:val="001D467A"/>
    <w:rsid w:val="001D722A"/>
    <w:rsid w:val="001E791C"/>
    <w:rsid w:val="002054F8"/>
    <w:rsid w:val="00205BB6"/>
    <w:rsid w:val="00220216"/>
    <w:rsid w:val="002255E1"/>
    <w:rsid w:val="00232796"/>
    <w:rsid w:val="002571CF"/>
    <w:rsid w:val="00261C66"/>
    <w:rsid w:val="0027313D"/>
    <w:rsid w:val="00277F18"/>
    <w:rsid w:val="002879E9"/>
    <w:rsid w:val="00287C7A"/>
    <w:rsid w:val="00292DDA"/>
    <w:rsid w:val="00296338"/>
    <w:rsid w:val="002C4270"/>
    <w:rsid w:val="002C4641"/>
    <w:rsid w:val="002D5525"/>
    <w:rsid w:val="002E4963"/>
    <w:rsid w:val="002E5802"/>
    <w:rsid w:val="002F516B"/>
    <w:rsid w:val="002F79EE"/>
    <w:rsid w:val="00303247"/>
    <w:rsid w:val="00315E6C"/>
    <w:rsid w:val="00316CDA"/>
    <w:rsid w:val="003176D9"/>
    <w:rsid w:val="0033398C"/>
    <w:rsid w:val="003341DC"/>
    <w:rsid w:val="003451A0"/>
    <w:rsid w:val="00352DF3"/>
    <w:rsid w:val="00355FB7"/>
    <w:rsid w:val="003609DC"/>
    <w:rsid w:val="003637C0"/>
    <w:rsid w:val="00393CC0"/>
    <w:rsid w:val="003960F6"/>
    <w:rsid w:val="003B1661"/>
    <w:rsid w:val="003B3380"/>
    <w:rsid w:val="003B67A0"/>
    <w:rsid w:val="003B71D8"/>
    <w:rsid w:val="003C008D"/>
    <w:rsid w:val="004031D7"/>
    <w:rsid w:val="004110F8"/>
    <w:rsid w:val="004159AE"/>
    <w:rsid w:val="00417FB7"/>
    <w:rsid w:val="00425718"/>
    <w:rsid w:val="0043103F"/>
    <w:rsid w:val="00435A0F"/>
    <w:rsid w:val="00437AC5"/>
    <w:rsid w:val="00441ECE"/>
    <w:rsid w:val="00450F42"/>
    <w:rsid w:val="004532C3"/>
    <w:rsid w:val="004A0699"/>
    <w:rsid w:val="004A6D33"/>
    <w:rsid w:val="004D4A06"/>
    <w:rsid w:val="004F6A42"/>
    <w:rsid w:val="005015CB"/>
    <w:rsid w:val="00515CDB"/>
    <w:rsid w:val="00543B7E"/>
    <w:rsid w:val="00582288"/>
    <w:rsid w:val="00585595"/>
    <w:rsid w:val="00585CE1"/>
    <w:rsid w:val="005B6AE0"/>
    <w:rsid w:val="005D0270"/>
    <w:rsid w:val="005E0C2E"/>
    <w:rsid w:val="005E786C"/>
    <w:rsid w:val="005F2600"/>
    <w:rsid w:val="0063217D"/>
    <w:rsid w:val="0063614D"/>
    <w:rsid w:val="006475D4"/>
    <w:rsid w:val="006569D9"/>
    <w:rsid w:val="00663668"/>
    <w:rsid w:val="0068366F"/>
    <w:rsid w:val="00690D2E"/>
    <w:rsid w:val="006927F2"/>
    <w:rsid w:val="006933E9"/>
    <w:rsid w:val="006B6F1D"/>
    <w:rsid w:val="006C0792"/>
    <w:rsid w:val="006F69CE"/>
    <w:rsid w:val="007053F4"/>
    <w:rsid w:val="007144FA"/>
    <w:rsid w:val="007363C4"/>
    <w:rsid w:val="007371FF"/>
    <w:rsid w:val="00761DBC"/>
    <w:rsid w:val="0076606E"/>
    <w:rsid w:val="007660FD"/>
    <w:rsid w:val="00773EE4"/>
    <w:rsid w:val="007D3F71"/>
    <w:rsid w:val="007D6B98"/>
    <w:rsid w:val="007E68AC"/>
    <w:rsid w:val="007F36C2"/>
    <w:rsid w:val="007F63C8"/>
    <w:rsid w:val="00801304"/>
    <w:rsid w:val="00803460"/>
    <w:rsid w:val="00824171"/>
    <w:rsid w:val="008262B1"/>
    <w:rsid w:val="008411C9"/>
    <w:rsid w:val="00841678"/>
    <w:rsid w:val="00841F2E"/>
    <w:rsid w:val="0087354C"/>
    <w:rsid w:val="008774F2"/>
    <w:rsid w:val="008909A8"/>
    <w:rsid w:val="008A0112"/>
    <w:rsid w:val="008A262A"/>
    <w:rsid w:val="008B0A43"/>
    <w:rsid w:val="008C190C"/>
    <w:rsid w:val="008D1D78"/>
    <w:rsid w:val="008E0820"/>
    <w:rsid w:val="008E32D0"/>
    <w:rsid w:val="008E59E3"/>
    <w:rsid w:val="00913630"/>
    <w:rsid w:val="009354B7"/>
    <w:rsid w:val="00936831"/>
    <w:rsid w:val="00942AFC"/>
    <w:rsid w:val="00974B8F"/>
    <w:rsid w:val="00975A13"/>
    <w:rsid w:val="00983521"/>
    <w:rsid w:val="00986E02"/>
    <w:rsid w:val="009A076E"/>
    <w:rsid w:val="009C41E6"/>
    <w:rsid w:val="009C4DBE"/>
    <w:rsid w:val="009C76A5"/>
    <w:rsid w:val="009D0F6C"/>
    <w:rsid w:val="009D3B21"/>
    <w:rsid w:val="009D613E"/>
    <w:rsid w:val="009F0C75"/>
    <w:rsid w:val="009F7871"/>
    <w:rsid w:val="00A00BBC"/>
    <w:rsid w:val="00A02FA4"/>
    <w:rsid w:val="00A17A0C"/>
    <w:rsid w:val="00A23CB1"/>
    <w:rsid w:val="00A5133E"/>
    <w:rsid w:val="00A57E30"/>
    <w:rsid w:val="00A62926"/>
    <w:rsid w:val="00A67D82"/>
    <w:rsid w:val="00A71CF3"/>
    <w:rsid w:val="00AA1393"/>
    <w:rsid w:val="00AB3CD9"/>
    <w:rsid w:val="00AC63F1"/>
    <w:rsid w:val="00AD5332"/>
    <w:rsid w:val="00B03228"/>
    <w:rsid w:val="00B07E22"/>
    <w:rsid w:val="00B2381D"/>
    <w:rsid w:val="00B23F18"/>
    <w:rsid w:val="00B25BB1"/>
    <w:rsid w:val="00B348BF"/>
    <w:rsid w:val="00B5329D"/>
    <w:rsid w:val="00B66F9A"/>
    <w:rsid w:val="00B76D6D"/>
    <w:rsid w:val="00B90CE7"/>
    <w:rsid w:val="00B91D84"/>
    <w:rsid w:val="00BD571F"/>
    <w:rsid w:val="00BE15D4"/>
    <w:rsid w:val="00BF67A2"/>
    <w:rsid w:val="00BF721E"/>
    <w:rsid w:val="00C001B3"/>
    <w:rsid w:val="00C2315B"/>
    <w:rsid w:val="00C23856"/>
    <w:rsid w:val="00C34427"/>
    <w:rsid w:val="00C3445B"/>
    <w:rsid w:val="00C612D5"/>
    <w:rsid w:val="00C779D2"/>
    <w:rsid w:val="00C8648A"/>
    <w:rsid w:val="00C95093"/>
    <w:rsid w:val="00CA7275"/>
    <w:rsid w:val="00CB0948"/>
    <w:rsid w:val="00CD3C0C"/>
    <w:rsid w:val="00CD57C0"/>
    <w:rsid w:val="00CE1DCF"/>
    <w:rsid w:val="00CF17FF"/>
    <w:rsid w:val="00D36982"/>
    <w:rsid w:val="00D3705D"/>
    <w:rsid w:val="00D4700B"/>
    <w:rsid w:val="00D562C8"/>
    <w:rsid w:val="00D601C4"/>
    <w:rsid w:val="00D67C9C"/>
    <w:rsid w:val="00D76F31"/>
    <w:rsid w:val="00D80879"/>
    <w:rsid w:val="00DC2154"/>
    <w:rsid w:val="00DD7481"/>
    <w:rsid w:val="00DE6725"/>
    <w:rsid w:val="00DF357D"/>
    <w:rsid w:val="00E151AE"/>
    <w:rsid w:val="00E2030B"/>
    <w:rsid w:val="00E22B35"/>
    <w:rsid w:val="00E37CD3"/>
    <w:rsid w:val="00E576C9"/>
    <w:rsid w:val="00E57F8F"/>
    <w:rsid w:val="00E6054A"/>
    <w:rsid w:val="00E673E9"/>
    <w:rsid w:val="00E912F7"/>
    <w:rsid w:val="00EA5D58"/>
    <w:rsid w:val="00EA7356"/>
    <w:rsid w:val="00EB6980"/>
    <w:rsid w:val="00EF3BA4"/>
    <w:rsid w:val="00F0208E"/>
    <w:rsid w:val="00F06224"/>
    <w:rsid w:val="00F11E47"/>
    <w:rsid w:val="00F22A43"/>
    <w:rsid w:val="00F255C0"/>
    <w:rsid w:val="00F34595"/>
    <w:rsid w:val="00F3631A"/>
    <w:rsid w:val="00F64C94"/>
    <w:rsid w:val="00F77024"/>
    <w:rsid w:val="00F87B1F"/>
    <w:rsid w:val="00FA0EFC"/>
    <w:rsid w:val="00FB2E89"/>
    <w:rsid w:val="00FD095F"/>
    <w:rsid w:val="00FD5D56"/>
    <w:rsid w:val="00FD69DF"/>
    <w:rsid w:val="00FE4E09"/>
    <w:rsid w:val="00FF2081"/>
    <w:rsid w:val="00FF51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6793"/>
  <w15:chartTrackingRefBased/>
  <w15:docId w15:val="{F7E10C83-7751-486E-AD8A-4B740E18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0"/>
    <w:pPr>
      <w:spacing w:after="0" w:line="240" w:lineRule="auto"/>
    </w:pPr>
    <w:rPr>
      <w:rFonts w:ascii="Times New Roman" w:hAnsi="Times New Roman" w:cs="Times New Roman"/>
      <w:sz w:val="24"/>
      <w:szCs w:val="24"/>
      <w:lang w:eastAsia="pt-PT"/>
    </w:rPr>
  </w:style>
  <w:style w:type="paragraph" w:styleId="Cabealho2">
    <w:name w:val="heading 2"/>
    <w:basedOn w:val="Normal"/>
    <w:link w:val="Cabealho2Carter"/>
    <w:uiPriority w:val="9"/>
    <w:qFormat/>
    <w:rsid w:val="007363C4"/>
    <w:pPr>
      <w:spacing w:before="100" w:beforeAutospacing="1" w:after="100" w:afterAutospacing="1"/>
      <w:outlineLvl w:val="1"/>
    </w:pPr>
    <w:rPr>
      <w:rFonts w:eastAsia="Times New Roman"/>
      <w:b/>
      <w:bCs/>
      <w:sz w:val="36"/>
      <w:szCs w:val="3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C612D5"/>
    <w:rPr>
      <w:color w:val="0000FF"/>
      <w:u w:val="single"/>
    </w:rPr>
  </w:style>
  <w:style w:type="paragraph" w:styleId="NormalWeb">
    <w:name w:val="Normal (Web)"/>
    <w:basedOn w:val="Normal"/>
    <w:uiPriority w:val="99"/>
    <w:unhideWhenUsed/>
    <w:rsid w:val="00C612D5"/>
  </w:style>
  <w:style w:type="character" w:customStyle="1" w:styleId="apple-converted-space">
    <w:name w:val="apple-converted-space"/>
    <w:basedOn w:val="Tipodeletrapredefinidodopargrafo"/>
    <w:rsid w:val="00C612D5"/>
  </w:style>
  <w:style w:type="paragraph" w:styleId="PargrafodaLista">
    <w:name w:val="List Paragraph"/>
    <w:basedOn w:val="Normal"/>
    <w:uiPriority w:val="34"/>
    <w:qFormat/>
    <w:rsid w:val="0076606E"/>
    <w:pPr>
      <w:spacing w:before="120" w:after="120"/>
      <w:ind w:left="720"/>
      <w:contextualSpacing/>
      <w:jc w:val="both"/>
    </w:pPr>
    <w:rPr>
      <w:rFonts w:asciiTheme="minorHAnsi" w:hAnsiTheme="minorHAnsi" w:cstheme="minorBidi"/>
      <w:lang w:eastAsia="en-US"/>
    </w:rPr>
  </w:style>
  <w:style w:type="paragraph" w:styleId="Citao">
    <w:name w:val="Quote"/>
    <w:basedOn w:val="Normal"/>
    <w:next w:val="Normal"/>
    <w:link w:val="CitaoCarter"/>
    <w:uiPriority w:val="29"/>
    <w:qFormat/>
    <w:rsid w:val="000021D0"/>
    <w:pPr>
      <w:spacing w:before="360" w:after="360"/>
      <w:ind w:left="567" w:right="567"/>
      <w:jc w:val="both"/>
    </w:pPr>
    <w:rPr>
      <w:rFonts w:asciiTheme="minorHAnsi" w:hAnsiTheme="minorHAnsi" w:cstheme="minorBidi"/>
      <w:i/>
      <w:iCs/>
      <w:lang w:eastAsia="en-US"/>
    </w:rPr>
  </w:style>
  <w:style w:type="character" w:customStyle="1" w:styleId="CitaoCarter">
    <w:name w:val="Citação Caráter"/>
    <w:basedOn w:val="Tipodeletrapredefinidodopargrafo"/>
    <w:link w:val="Citao"/>
    <w:uiPriority w:val="29"/>
    <w:rsid w:val="000021D0"/>
    <w:rPr>
      <w:i/>
      <w:iCs/>
      <w:sz w:val="24"/>
      <w:szCs w:val="24"/>
    </w:rPr>
  </w:style>
  <w:style w:type="paragraph" w:styleId="Cabealho">
    <w:name w:val="header"/>
    <w:basedOn w:val="Normal"/>
    <w:link w:val="CabealhoCarter"/>
    <w:uiPriority w:val="99"/>
    <w:unhideWhenUsed/>
    <w:rsid w:val="00BF67A2"/>
    <w:pPr>
      <w:tabs>
        <w:tab w:val="center" w:pos="4252"/>
        <w:tab w:val="right" w:pos="8504"/>
      </w:tabs>
    </w:pPr>
  </w:style>
  <w:style w:type="character" w:customStyle="1" w:styleId="CabealhoCarter">
    <w:name w:val="Cabeçalho Caráter"/>
    <w:basedOn w:val="Tipodeletrapredefinidodopargrafo"/>
    <w:link w:val="Cabealho"/>
    <w:uiPriority w:val="99"/>
    <w:rsid w:val="00BF67A2"/>
    <w:rPr>
      <w:rFonts w:ascii="Times New Roman" w:hAnsi="Times New Roman" w:cs="Times New Roman"/>
      <w:sz w:val="24"/>
      <w:szCs w:val="24"/>
      <w:lang w:eastAsia="pt-PT"/>
    </w:rPr>
  </w:style>
  <w:style w:type="paragraph" w:styleId="Rodap">
    <w:name w:val="footer"/>
    <w:basedOn w:val="Normal"/>
    <w:link w:val="RodapCarter"/>
    <w:uiPriority w:val="99"/>
    <w:unhideWhenUsed/>
    <w:rsid w:val="00BF67A2"/>
    <w:pPr>
      <w:tabs>
        <w:tab w:val="center" w:pos="4252"/>
        <w:tab w:val="right" w:pos="8504"/>
      </w:tabs>
    </w:pPr>
  </w:style>
  <w:style w:type="character" w:customStyle="1" w:styleId="RodapCarter">
    <w:name w:val="Rodapé Caráter"/>
    <w:basedOn w:val="Tipodeletrapredefinidodopargrafo"/>
    <w:link w:val="Rodap"/>
    <w:uiPriority w:val="99"/>
    <w:rsid w:val="00BF67A2"/>
    <w:rPr>
      <w:rFonts w:ascii="Times New Roman" w:hAnsi="Times New Roman" w:cs="Times New Roman"/>
      <w:sz w:val="24"/>
      <w:szCs w:val="24"/>
      <w:lang w:eastAsia="pt-PT"/>
    </w:rPr>
  </w:style>
  <w:style w:type="character" w:styleId="nfase">
    <w:name w:val="Emphasis"/>
    <w:basedOn w:val="Tipodeletrapredefinidodopargrafo"/>
    <w:uiPriority w:val="20"/>
    <w:qFormat/>
    <w:rsid w:val="00FE4E09"/>
    <w:rPr>
      <w:i/>
      <w:iCs/>
    </w:rPr>
  </w:style>
  <w:style w:type="character" w:styleId="Forte">
    <w:name w:val="Strong"/>
    <w:basedOn w:val="Tipodeletrapredefinidodopargrafo"/>
    <w:uiPriority w:val="22"/>
    <w:qFormat/>
    <w:rsid w:val="000130F2"/>
    <w:rPr>
      <w:b/>
      <w:bCs/>
    </w:rPr>
  </w:style>
  <w:style w:type="character" w:customStyle="1" w:styleId="Cabealho2Carter">
    <w:name w:val="Cabeçalho 2 Caráter"/>
    <w:basedOn w:val="Tipodeletrapredefinidodopargrafo"/>
    <w:link w:val="Cabealho2"/>
    <w:uiPriority w:val="9"/>
    <w:rsid w:val="007363C4"/>
    <w:rPr>
      <w:rFonts w:ascii="Times New Roman" w:eastAsia="Times New Roman" w:hAnsi="Times New Roman" w:cs="Times New Roman"/>
      <w:b/>
      <w:bCs/>
      <w:sz w:val="36"/>
      <w:szCs w:val="36"/>
      <w:lang w:eastAsia="pt-PT"/>
    </w:rPr>
  </w:style>
  <w:style w:type="character" w:customStyle="1" w:styleId="date-display-single">
    <w:name w:val="date-display-single"/>
    <w:basedOn w:val="Tipodeletrapredefinidodopargrafo"/>
    <w:rsid w:val="0073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8698">
      <w:bodyDiv w:val="1"/>
      <w:marLeft w:val="0"/>
      <w:marRight w:val="0"/>
      <w:marTop w:val="0"/>
      <w:marBottom w:val="0"/>
      <w:divBdr>
        <w:top w:val="none" w:sz="0" w:space="0" w:color="auto"/>
        <w:left w:val="none" w:sz="0" w:space="0" w:color="auto"/>
        <w:bottom w:val="none" w:sz="0" w:space="0" w:color="auto"/>
        <w:right w:val="none" w:sz="0" w:space="0" w:color="auto"/>
      </w:divBdr>
      <w:divsChild>
        <w:div w:id="1768505763">
          <w:marLeft w:val="0"/>
          <w:marRight w:val="0"/>
          <w:marTop w:val="0"/>
          <w:marBottom w:val="0"/>
          <w:divBdr>
            <w:top w:val="none" w:sz="0" w:space="0" w:color="auto"/>
            <w:left w:val="none" w:sz="0" w:space="0" w:color="auto"/>
            <w:bottom w:val="none" w:sz="0" w:space="0" w:color="auto"/>
            <w:right w:val="none" w:sz="0" w:space="0" w:color="auto"/>
          </w:divBdr>
          <w:divsChild>
            <w:div w:id="818576212">
              <w:marLeft w:val="0"/>
              <w:marRight w:val="0"/>
              <w:marTop w:val="0"/>
              <w:marBottom w:val="0"/>
              <w:divBdr>
                <w:top w:val="none" w:sz="0" w:space="0" w:color="auto"/>
                <w:left w:val="none" w:sz="0" w:space="0" w:color="auto"/>
                <w:bottom w:val="none" w:sz="0" w:space="0" w:color="auto"/>
                <w:right w:val="none" w:sz="0" w:space="0" w:color="auto"/>
              </w:divBdr>
              <w:divsChild>
                <w:div w:id="13948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8632">
          <w:marLeft w:val="0"/>
          <w:marRight w:val="0"/>
          <w:marTop w:val="0"/>
          <w:marBottom w:val="0"/>
          <w:divBdr>
            <w:top w:val="none" w:sz="0" w:space="0" w:color="auto"/>
            <w:left w:val="none" w:sz="0" w:space="0" w:color="auto"/>
            <w:bottom w:val="none" w:sz="0" w:space="0" w:color="auto"/>
            <w:right w:val="none" w:sz="0" w:space="0" w:color="auto"/>
          </w:divBdr>
          <w:divsChild>
            <w:div w:id="1033961589">
              <w:marLeft w:val="0"/>
              <w:marRight w:val="0"/>
              <w:marTop w:val="0"/>
              <w:marBottom w:val="0"/>
              <w:divBdr>
                <w:top w:val="none" w:sz="0" w:space="0" w:color="auto"/>
                <w:left w:val="none" w:sz="0" w:space="0" w:color="auto"/>
                <w:bottom w:val="none" w:sz="0" w:space="0" w:color="auto"/>
                <w:right w:val="none" w:sz="0" w:space="0" w:color="auto"/>
              </w:divBdr>
              <w:divsChild>
                <w:div w:id="7604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9652">
          <w:marLeft w:val="0"/>
          <w:marRight w:val="0"/>
          <w:marTop w:val="0"/>
          <w:marBottom w:val="0"/>
          <w:divBdr>
            <w:top w:val="none" w:sz="0" w:space="0" w:color="auto"/>
            <w:left w:val="none" w:sz="0" w:space="0" w:color="auto"/>
            <w:bottom w:val="none" w:sz="0" w:space="0" w:color="auto"/>
            <w:right w:val="none" w:sz="0" w:space="0" w:color="auto"/>
          </w:divBdr>
          <w:divsChild>
            <w:div w:id="2066953869">
              <w:marLeft w:val="0"/>
              <w:marRight w:val="0"/>
              <w:marTop w:val="0"/>
              <w:marBottom w:val="0"/>
              <w:divBdr>
                <w:top w:val="none" w:sz="0" w:space="0" w:color="auto"/>
                <w:left w:val="none" w:sz="0" w:space="0" w:color="auto"/>
                <w:bottom w:val="none" w:sz="0" w:space="0" w:color="auto"/>
                <w:right w:val="none" w:sz="0" w:space="0" w:color="auto"/>
              </w:divBdr>
              <w:divsChild>
                <w:div w:id="11598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14992">
      <w:bodyDiv w:val="1"/>
      <w:marLeft w:val="0"/>
      <w:marRight w:val="0"/>
      <w:marTop w:val="0"/>
      <w:marBottom w:val="0"/>
      <w:divBdr>
        <w:top w:val="none" w:sz="0" w:space="0" w:color="auto"/>
        <w:left w:val="none" w:sz="0" w:space="0" w:color="auto"/>
        <w:bottom w:val="none" w:sz="0" w:space="0" w:color="auto"/>
        <w:right w:val="none" w:sz="0" w:space="0" w:color="auto"/>
      </w:divBdr>
    </w:div>
    <w:div w:id="540047212">
      <w:bodyDiv w:val="1"/>
      <w:marLeft w:val="0"/>
      <w:marRight w:val="0"/>
      <w:marTop w:val="0"/>
      <w:marBottom w:val="0"/>
      <w:divBdr>
        <w:top w:val="none" w:sz="0" w:space="0" w:color="auto"/>
        <w:left w:val="none" w:sz="0" w:space="0" w:color="auto"/>
        <w:bottom w:val="none" w:sz="0" w:space="0" w:color="auto"/>
        <w:right w:val="none" w:sz="0" w:space="0" w:color="auto"/>
      </w:divBdr>
    </w:div>
    <w:div w:id="560091935">
      <w:bodyDiv w:val="1"/>
      <w:marLeft w:val="0"/>
      <w:marRight w:val="0"/>
      <w:marTop w:val="0"/>
      <w:marBottom w:val="0"/>
      <w:divBdr>
        <w:top w:val="none" w:sz="0" w:space="0" w:color="auto"/>
        <w:left w:val="none" w:sz="0" w:space="0" w:color="auto"/>
        <w:bottom w:val="none" w:sz="0" w:space="0" w:color="auto"/>
        <w:right w:val="none" w:sz="0" w:space="0" w:color="auto"/>
      </w:divBdr>
    </w:div>
    <w:div w:id="570887984">
      <w:bodyDiv w:val="1"/>
      <w:marLeft w:val="0"/>
      <w:marRight w:val="0"/>
      <w:marTop w:val="0"/>
      <w:marBottom w:val="0"/>
      <w:divBdr>
        <w:top w:val="none" w:sz="0" w:space="0" w:color="auto"/>
        <w:left w:val="none" w:sz="0" w:space="0" w:color="auto"/>
        <w:bottom w:val="none" w:sz="0" w:space="0" w:color="auto"/>
        <w:right w:val="none" w:sz="0" w:space="0" w:color="auto"/>
      </w:divBdr>
    </w:div>
    <w:div w:id="1066610582">
      <w:bodyDiv w:val="1"/>
      <w:marLeft w:val="0"/>
      <w:marRight w:val="0"/>
      <w:marTop w:val="0"/>
      <w:marBottom w:val="0"/>
      <w:divBdr>
        <w:top w:val="none" w:sz="0" w:space="0" w:color="auto"/>
        <w:left w:val="none" w:sz="0" w:space="0" w:color="auto"/>
        <w:bottom w:val="none" w:sz="0" w:space="0" w:color="auto"/>
        <w:right w:val="none" w:sz="0" w:space="0" w:color="auto"/>
      </w:divBdr>
    </w:div>
    <w:div w:id="1069890774">
      <w:bodyDiv w:val="1"/>
      <w:marLeft w:val="0"/>
      <w:marRight w:val="0"/>
      <w:marTop w:val="0"/>
      <w:marBottom w:val="0"/>
      <w:divBdr>
        <w:top w:val="none" w:sz="0" w:space="0" w:color="auto"/>
        <w:left w:val="none" w:sz="0" w:space="0" w:color="auto"/>
        <w:bottom w:val="none" w:sz="0" w:space="0" w:color="auto"/>
        <w:right w:val="none" w:sz="0" w:space="0" w:color="auto"/>
      </w:divBdr>
    </w:div>
    <w:div w:id="1070613555">
      <w:bodyDiv w:val="1"/>
      <w:marLeft w:val="0"/>
      <w:marRight w:val="0"/>
      <w:marTop w:val="0"/>
      <w:marBottom w:val="0"/>
      <w:divBdr>
        <w:top w:val="none" w:sz="0" w:space="0" w:color="auto"/>
        <w:left w:val="none" w:sz="0" w:space="0" w:color="auto"/>
        <w:bottom w:val="none" w:sz="0" w:space="0" w:color="auto"/>
        <w:right w:val="none" w:sz="0" w:space="0" w:color="auto"/>
      </w:divBdr>
    </w:div>
    <w:div w:id="1350838946">
      <w:bodyDiv w:val="1"/>
      <w:marLeft w:val="0"/>
      <w:marRight w:val="0"/>
      <w:marTop w:val="0"/>
      <w:marBottom w:val="0"/>
      <w:divBdr>
        <w:top w:val="none" w:sz="0" w:space="0" w:color="auto"/>
        <w:left w:val="none" w:sz="0" w:space="0" w:color="auto"/>
        <w:bottom w:val="none" w:sz="0" w:space="0" w:color="auto"/>
        <w:right w:val="none" w:sz="0" w:space="0" w:color="auto"/>
      </w:divBdr>
    </w:div>
    <w:div w:id="1402679157">
      <w:bodyDiv w:val="1"/>
      <w:marLeft w:val="0"/>
      <w:marRight w:val="0"/>
      <w:marTop w:val="0"/>
      <w:marBottom w:val="0"/>
      <w:divBdr>
        <w:top w:val="none" w:sz="0" w:space="0" w:color="auto"/>
        <w:left w:val="none" w:sz="0" w:space="0" w:color="auto"/>
        <w:bottom w:val="none" w:sz="0" w:space="0" w:color="auto"/>
        <w:right w:val="none" w:sz="0" w:space="0" w:color="auto"/>
      </w:divBdr>
    </w:div>
    <w:div w:id="1680742181">
      <w:bodyDiv w:val="1"/>
      <w:marLeft w:val="0"/>
      <w:marRight w:val="0"/>
      <w:marTop w:val="0"/>
      <w:marBottom w:val="0"/>
      <w:divBdr>
        <w:top w:val="none" w:sz="0" w:space="0" w:color="auto"/>
        <w:left w:val="none" w:sz="0" w:space="0" w:color="auto"/>
        <w:bottom w:val="none" w:sz="0" w:space="0" w:color="auto"/>
        <w:right w:val="none" w:sz="0" w:space="0" w:color="auto"/>
      </w:divBdr>
    </w:div>
    <w:div w:id="2120295968">
      <w:bodyDiv w:val="1"/>
      <w:marLeft w:val="0"/>
      <w:marRight w:val="0"/>
      <w:marTop w:val="0"/>
      <w:marBottom w:val="0"/>
      <w:divBdr>
        <w:top w:val="none" w:sz="0" w:space="0" w:color="auto"/>
        <w:left w:val="none" w:sz="0" w:space="0" w:color="auto"/>
        <w:bottom w:val="none" w:sz="0" w:space="0" w:color="auto"/>
        <w:right w:val="none" w:sz="0" w:space="0" w:color="auto"/>
      </w:divBdr>
    </w:div>
    <w:div w:id="21252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9</Pages>
  <Words>3785</Words>
  <Characters>20442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Manuel Roque Águas</dc:creator>
  <cp:keywords/>
  <dc:description/>
  <cp:lastModifiedBy>Paulo Manuel Roque Águas</cp:lastModifiedBy>
  <cp:revision>51</cp:revision>
  <dcterms:created xsi:type="dcterms:W3CDTF">2020-12-08T15:32:00Z</dcterms:created>
  <dcterms:modified xsi:type="dcterms:W3CDTF">2020-12-14T14:31:00Z</dcterms:modified>
</cp:coreProperties>
</file>